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7202B"/>
          <w:sz w:val="34"/>
          <w:szCs w:val="34"/>
        </w:rPr>
        <w:t xml:space="preserve">МАБУТ-ийн хамрах хүрээний шийдвэр</w:t>
      </w:r>
    </w:p>
    <w:p>
      <w:pPr>
        <w:spacing w:after="160"/>
      </w:pPr>
      <w:r>
        <w:rPr>
          <w:i/>
          <w:iCs/>
          <w:color w:val="5B6472"/>
          <w:sz w:val="19"/>
          <w:szCs w:val="19"/>
        </w:rPr>
        <w:t xml:space="preserve">ISO/IEC 27001:2022 стандарт нэвтрүүлэх төслийн эхний, тэргүүлэх шийдвэр</w:t>
      </w:r>
    </w:p>
    <w:p>
      <w:pPr>
        <w:spacing w:after="120"/>
      </w:pPr>
      <w:r>
        <w:rPr>
          <w:b/>
          <w:bCs/>
          <w:color w:val="17202B"/>
          <w:sz w:val="18"/>
          <w:szCs w:val="18"/>
        </w:rPr>
        <w:t xml:space="preserve">Агуулга. </w:t>
      </w:r>
      <w:r>
        <w:rPr>
          <w:color w:val="17202B"/>
          <w:sz w:val="18"/>
          <w:szCs w:val="18"/>
        </w:rPr>
        <w:t xml:space="preserve">Мэдээллийн аюулгүй байдлын менежментийн тогтолцоо (ISMS)-ийн </w:t>
      </w:r>
      <w:r>
        <w:rPr>
          <w:b/>
          <w:bCs/>
          <w:color w:val="17202B"/>
          <w:sz w:val="18"/>
          <w:szCs w:val="18"/>
        </w:rPr>
        <w:t xml:space="preserve">хамрах хүрээ</w:t>
      </w:r>
      <w:r>
        <w:rPr>
          <w:color w:val="17202B"/>
          <w:sz w:val="18"/>
          <w:szCs w:val="18"/>
        </w:rPr>
        <w:t xml:space="preserve">-г тодорхойлж баталгаажуулах нь тендерийн Ажлын даалгавар 1-ийн эхний бүтээгдэхүүн бөгөөд ISO/IEC 27001:2022 стандартын 4.3-р заалтын дагуу бусад бүх ажлын (эрсдэлийн үнэлгээ, баримт бичиг, хяналтын хэрэгжилт) суурь болно. Дунд хугацааны стратегийн 1.9-р арга хэмжээ ISMS-ийг ISO/IEC 27001:2022-оор нэвтрүүлэхийг шууд заасан.</w:t>
      </w:r>
    </w:p>
    <w:p>
      <w:pPr>
        <w:pBdr>
          <w:bottom w:val="single" w:color="1F4E5F" w:sz="6" w:space="3"/>
        </w:pBdr>
        <w:spacing w:after="90" w:before="220"/>
      </w:pPr>
      <w:r>
        <w:rPr>
          <w:b/>
          <w:bCs/>
          <w:color w:val="1F4E5F"/>
          <w:sz w:val="21"/>
          <w:szCs w:val="21"/>
        </w:rPr>
        <w:t xml:space="preserve">3 хувилбарын харьцуулалт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6"/>
        <w:gridCol w:w="2700"/>
        <w:gridCol w:w="27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7202B"/>
                <w:sz w:val="18"/>
                <w:szCs w:val="18"/>
              </w:rPr>
              <w:t xml:space="preserve"/>
            </w:r>
          </w:p>
        </w:tc>
        <w:tc>
          <w:tcPr>
            <w:tcW w:type="dxa" w:w="4506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Хамрах хүрээ</w:t>
            </w:r>
          </w:p>
        </w:tc>
        <w:tc>
          <w:tcPr>
            <w:tcW w:type="dxa" w:w="2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Давуу тал</w:t>
            </w:r>
          </w:p>
        </w:tc>
        <w:tc>
          <w:tcPr>
            <w:tcW w:type="dxa" w:w="2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Эрсдэл / Сул тал</w:t>
            </w:r>
          </w:p>
        </w:tc>
      </w:tr>
      <w:tr>
        <w:tc>
          <w:tcPr>
            <w:tcW w:type="dxa" w:w="2400"/>
            <w:shd w:fill="F2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7202B"/>
                <w:sz w:val="18"/>
                <w:szCs w:val="18"/>
              </w:rPr>
              <w:t xml:space="preserve">Санал 1
Гэрээт хамгаалалт</w:t>
            </w:r>
          </w:p>
        </w:tc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Тендерт нэрлэсэн 4 нэгж: Төлбөрийн систем технологийн газар, Санхүү удирдлагын газрын Үйлчилгээ аюулгүй байдлын хэлтэс, Эрсдэл/дотоод аудитын газар, Хуулийн газар.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Төсөв (66 сая₮), хугацаа (40 долоо хоног)-нд багтах магадлал хамгийн өндөр.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Стратеги 1.9-д заасан “орон нутгийн салбар”-ыг хамруулахгүй.</w:t>
            </w:r>
          </w:p>
        </w:tc>
      </w:tr>
      <w:tr>
        <w:tc>
          <w:tcPr>
            <w:tcW w:type="dxa" w:w="2400"/>
            <w:shd w:fill="F1E4C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7202B"/>
                <w:sz w:val="18"/>
                <w:szCs w:val="18"/>
              </w:rPr>
              <w:t xml:space="preserve">Санал 2
Стратегийн үнэнч ★</w:t>
            </w:r>
          </w:p>
        </w:tc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Санал 1 + Салбар төлөөлөгчийн газар (орон нутаг) + API/солилцооны бодлого, нөөцлөлт-сэргээлтийн SLA.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Банкны батлагдсан стратеги 1.9-тэй бүрэн нийцнэ; “зөвхөн тендерийг биш, стратегийг ойлгосон” давуу тал.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Хамрах хүрээ өргөссөнөөр хугацаа/төсвийн эрсдэл нэмэгдэнэ — үнийн саналд тодорхой тусгах шаардлагатай.</w:t>
            </w:r>
          </w:p>
        </w:tc>
      </w:tr>
      <w:tr>
        <w:tc>
          <w:tcPr>
            <w:tcW w:type="dxa" w:w="2400"/>
            <w:shd w:fill="F2F2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7202B"/>
                <w:sz w:val="18"/>
                <w:szCs w:val="18"/>
              </w:rPr>
              <w:t xml:space="preserve">Санал 3
Олон улсын жишиг</w:t>
            </w:r>
          </w:p>
        </w:tc>
        <w:tc>
          <w:tcPr>
            <w:tcW w:type="dxa" w:w="45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Зөвхөн Үндэсний цахим гүйлгээний төв + Мэдээлэл технологийн хэлтэс + Хяналт зохицуулалтын хэлтэс (төлбөрийн систем).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Английн Төв Банкны батлагдсан загвар (BSI гэрчилгээ №IS 655173: зөвхөн HVPS/CHAPS системд); хамгийн тодорхой хил хязгаартай.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7202B"/>
                <w:sz w:val="18"/>
                <w:szCs w:val="18"/>
              </w:rPr>
              <w:t xml:space="preserve">Тендерийн Ажлын даалгавар 1-д нэрлэсэн Эрсдэл/Хуулийн газрыг шууд хамруулаагүй тул захиалагчийн зүгээс эргэлзээтэй.</w:t>
            </w:r>
          </w:p>
        </w:tc>
      </w:tr>
    </w:tbl>
    <w:p>
      <w:pPr>
        <w:spacing w:before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shd w:fill="E7EF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B3E"/>
                <w:sz w:val="20"/>
                <w:szCs w:val="20"/>
              </w:rPr>
              <w:t xml:space="preserve">Зөвлөмж: </w:t>
            </w:r>
            <w:r>
              <w:rPr>
                <w:b/>
                <w:bCs/>
                <w:color w:val="2E6B3E"/>
                <w:sz w:val="20"/>
                <w:szCs w:val="20"/>
              </w:rPr>
              <w:t xml:space="preserve">Санал 2 — Стратегийн үнэнч хувилбар</w:t>
            </w:r>
          </w:p>
          <w:p>
            <w:pPr>
              <w:spacing w:after="0"/>
            </w:pPr>
            <w:r>
              <w:rPr>
                <w:color w:val="17202B"/>
                <w:sz w:val="18"/>
                <w:szCs w:val="18"/>
              </w:rPr>
              <w:t xml:space="preserve">Энэ нь тендерийн шаардлагыг (Санал 1) бүрэн хангаж, нэмээд банкны 2026-2030 дунд хугацааны стратегийн 1.9-р арга хэмжээтэй зөрчилдөхгүй цорын ганц хувилбар. Хугацаа/төсвийн нэмэлт эрсдэлийг Удирдах хороонд тодорхой мэдэгдэж, шаардлагатай бол 2 үе шат (гэрээт + өргөтгөл) болгон албан ёсоор ялгах.</w:t>
            </w:r>
          </w:p>
        </w:tc>
      </w:tr>
    </w:tbl>
    <w:p>
      <w:pPr>
        <w:pBdr>
          <w:bottom w:val="single" w:color="1F4E5F" w:sz="6" w:space="3"/>
        </w:pBdr>
        <w:spacing w:after="90" w:before="220"/>
      </w:pPr>
      <w:r>
        <w:rPr>
          <w:b/>
          <w:bCs/>
          <w:color w:val="1F4E5F"/>
          <w:sz w:val="21"/>
          <w:szCs w:val="21"/>
        </w:rPr>
        <w:t xml:space="preserve">Удирдах хорооноос шаардагдах шийдвэр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7202B"/>
          <w:sz w:val="18"/>
          <w:szCs w:val="18"/>
        </w:rPr>
        <w:t xml:space="preserve">Дээрх 3 хувилбарын аль нэгийг ISMS-ийн албан ёсны хамрах хүрээ болгон баталгаажуулах;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7202B"/>
          <w:sz w:val="18"/>
          <w:szCs w:val="18"/>
        </w:rPr>
        <w:t xml:space="preserve">Хамрах хүрээг тусгасан Хамрах хүрээний баримт бичиг, Хэрэглээний мэдэгдэл (SoA)-ийг батлах эрх мэдлийг тодорхойлох (Ерөнхийлөгч эсвэл эрх шилжүүлсэн Дэд ерөнхийлөгч);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7202B"/>
          <w:sz w:val="18"/>
          <w:szCs w:val="18"/>
        </w:rPr>
        <w:t xml:space="preserve">Төслийн баг, хариуцагчийг Ерөнхийлөгчийн тушаалаар томилох шийдвэр гаргах.</w:t>
      </w:r>
    </w:p>
    <w:p>
      <w:pPr>
        <w:pBdr>
          <w:bottom w:val="single" w:color="1F4E5F" w:sz="6" w:space="3"/>
        </w:pBdr>
        <w:spacing w:after="90" w:before="220"/>
      </w:pPr>
      <w:r>
        <w:rPr>
          <w:b/>
          <w:bCs/>
          <w:color w:val="1F4E5F"/>
          <w:sz w:val="21"/>
          <w:szCs w:val="21"/>
        </w:rPr>
        <w:t xml:space="preserve">Шийдвэр гарсны дараах дараагийн алхам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7202B"/>
          <w:sz w:val="18"/>
          <w:szCs w:val="18"/>
        </w:rPr>
        <w:t xml:space="preserve">Тушаал батлагдмагц зөрүүний шинжилгээ (gap analysis)-ийг W1-W3 хугацаанд эхлүүлэх — 118 хяналт/заалтын дэлгэрэнгүй ажлын төлөвлөгөө бэлэн;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7202B"/>
          <w:sz w:val="18"/>
          <w:szCs w:val="18"/>
        </w:rPr>
        <w:t xml:space="preserve">Хамрах хүрээний мэдэгдлийг сонгосон хувилбарын дагуу эцэслэж, SoA-ийн эхний ноороог бэлтгэх.</w:t>
      </w:r>
    </w:p>
    <w:p>
      <w:pPr>
        <w:pBdr>
          <w:top w:val="single" w:color="D9D9D9" w:sz="4" w:space="6"/>
        </w:pBdr>
        <w:spacing w:before="240"/>
      </w:pPr>
      <w:r>
        <w:rPr>
          <w:i/>
          <w:iCs/>
          <w:color w:val="5B6472"/>
          <w:sz w:val="14"/>
          <w:szCs w:val="14"/>
        </w:rPr>
        <w:t xml:space="preserve">Эх сурвалж: Тендерийн III бүлгийн ажлын даалгавар, Монголбанкны 2026 оны org chart ба А/176 тушаал (2026.06.08), Дунд хугацааны стратеги (2026-2030), IAF CertSearch/BSI гэрчилгээний бүртгэл.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4"/>
        <w:szCs w:val="14"/>
      </w:rPr>
      <w:t xml:space="preserve">Хуудас </w:t>
    </w:r>
    <w:r>
      <w:rPr>
        <w:color w:val="5B647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b/>
        <w:bCs/>
        <w:color w:val="1F4E5F"/>
        <w:sz w:val="16"/>
        <w:szCs w:val="16"/>
      </w:rPr>
      <w:t xml:space="preserve">ISO/IEC 27001:2022  ·  </w:t>
    </w:r>
    <w:r>
      <w:rPr>
        <w:color w:val="5B6472"/>
        <w:sz w:val="16"/>
        <w:szCs w:val="16"/>
      </w:rPr>
      <w:t xml:space="preserve">Удирдах хороонд танилцуулах шийдвэрийн санал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2026-09-07T12:27:58.676Z</dcterms:created>
  <dcterms:modified xsi:type="dcterms:W3CDTF">2026-09-07T12:27:58.676Z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