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110"/>
        <w:gridCol w:w="1365"/>
        <w:gridCol w:w="720"/>
        <w:gridCol w:w="2760"/>
        <w:gridCol w:w="1615"/>
        <w:tblGridChange w:id="0">
          <w:tblGrid>
            <w:gridCol w:w="2070"/>
            <w:gridCol w:w="1110"/>
            <w:gridCol w:w="1365"/>
            <w:gridCol w:w="720"/>
            <w:gridCol w:w="2760"/>
            <w:gridCol w:w="161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SPRAWOZDANIE Z LABORATORIUM FIZYKI 3.1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ćwiczenia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Temat ćwiczenia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Wyznaczenie stałej Plancka na podstawie charakterystyki diody elektroluminescencyjnej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grupy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Termin zajęć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27.10.2016, 09:15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Skład grupy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Prowadzący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Ocena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Iwo Bujkiewicz, 226203</w:t>
              <w:br w:type="textWrapping"/>
              <w:t xml:space="preserve">Bartosz Rodziewicz, 226105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Dr inż. Grzegorz Zatryb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3ftyfej636k" w:id="0"/>
      <w:bookmarkEnd w:id="0"/>
      <w:r w:rsidDel="00000000" w:rsidR="00000000" w:rsidRPr="00000000">
        <w:rPr>
          <w:rtl w:val="0"/>
        </w:rPr>
        <w:t xml:space="preserve">1. Cel ćwiczenia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Pomiar charakterystyki prądowo-napięciowej diody elektroluminescencyjnej w kierunku przewodzenia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Wyznaczenie długości fali promieniowania emitowanego przez diodę elektroluminescencyjną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Obliczenie stałej Plancka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yzfxybau9g0" w:id="1"/>
      <w:bookmarkEnd w:id="1"/>
      <w:r w:rsidDel="00000000" w:rsidR="00000000" w:rsidRPr="00000000">
        <w:rPr>
          <w:rtl w:val="0"/>
        </w:rPr>
        <w:t xml:space="preserve">2. Wstęp teoretyczny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Stała Plancka - oznaczana symbolem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- to jedna z podstawowych stałych fizycznych. Ma wymiar działania fizycznego. Pojawia się w większości równań mechaniki kwantowej.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Stałą tą opisał Max Planck w pracy na temat przyczyn tzw. katastrofy w nadfiolecie w prawie promieniowania ciała doskonale czarnego. Stwierdził, że energia nie może być wypromieniowywana w dowolnych ciągłych ilościach, a jedynie w postaci "pakietów" (kwantów) o wartości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hf</w:t>
      </w:r>
      <w:r w:rsidDel="00000000" w:rsidR="00000000" w:rsidRPr="00000000">
        <w:rPr>
          <w:rtl w:val="0"/>
        </w:rPr>
        <w:t xml:space="preserve">, gdzie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jest częstotliwością.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Jak powszechnie wiadomo, stała Plancka jest równa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6.626070040(81)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J∙s</w:t>
      </w:r>
      <w:r w:rsidDel="00000000" w:rsidR="00000000" w:rsidRPr="00000000">
        <w:rPr>
          <w:rtl w:val="0"/>
        </w:rPr>
        <w:t xml:space="preserve">,</w:t>
        <w:br w:type="textWrapping"/>
        <w:t xml:space="preserve">co odpowiada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4.135667662(25)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-15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eV∙s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Długość fali - oznaczana grecką literą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λ</w:t>
      </w:r>
      <w:r w:rsidDel="00000000" w:rsidR="00000000" w:rsidRPr="00000000">
        <w:rPr>
          <w:rtl w:val="0"/>
        </w:rPr>
        <w:t xml:space="preserve"> - to najmniejsza odległość pomiędzy dwoma punktami o tej samej fazie drgań. Dwa punkty fali są w tej samej fazie, jeżeli wychylenie w obu punktach jest takie samo i oba znajdują się na tym samym etapie (wzrostu lub zmniejszania się).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tym ćwiczeniu zajmowano się badaniem fal elektromagnetycznych w zakresie światła widzialnego dla człowieka, czyli o długościach fali zawierających się w przybliżeniu w przedziale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[380 nm; 780 nm]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Stałą Plancka wyznaczono na podstawie charakterystyki prądowo-napięciowej diód elektroluminescencyjnych oraz długości fali najsilniej emitowanego przez nie światła, korzystając ze wzoru: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/>
        <w:drawing>
          <wp:inline distB="57150" distT="57150" distL="57150" distR="57150">
            <wp:extent cx="1030734" cy="374813"/>
            <wp:effectExtent b="0" l="0" r="0" t="0"/>
            <wp:docPr descr="spr_01.png" id="1" name="image3.png"/>
            <a:graphic>
              <a:graphicData uri="http://schemas.openxmlformats.org/drawingml/2006/picture">
                <pic:pic>
                  <pic:nvPicPr>
                    <pic:cNvPr descr="spr_01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734" cy="37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jest elementarnym ładunkiem elektrycznym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tl w:val="0"/>
        </w:rPr>
        <w:t xml:space="preserve"> jest prędkością światła w próżni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λ</w:t>
      </w:r>
      <w:r w:rsidDel="00000000" w:rsidR="00000000" w:rsidRPr="00000000">
        <w:rPr>
          <w:rtl w:val="0"/>
        </w:rPr>
        <w:t xml:space="preserve"> jest zmierzoną długością fali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jest napięciem odpowiadającym barierze potencjału, otrzymanym jako punkt przecięcia prostej przybliżającej prostoliniową część charakterystyki prądowo-napięciowej wg regresji liniowej z osią napięcia.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7f5gs52gp73c" w:id="2"/>
      <w:bookmarkEnd w:id="2"/>
      <w:r w:rsidDel="00000000" w:rsidR="00000000" w:rsidRPr="00000000">
        <w:rPr>
          <w:rtl w:val="0"/>
        </w:rPr>
        <w:t xml:space="preserve">3. Spis przyrządów i schemat układu pomiarowego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Dwa multimetry cyfrowe Sanwa CD771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dokładność pomiaru napięcia stałego na zakresach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 V</w:t>
      </w:r>
      <w:r w:rsidDel="00000000" w:rsidR="00000000" w:rsidRPr="00000000">
        <w:rPr>
          <w:sz w:val="18"/>
          <w:szCs w:val="18"/>
          <w:rtl w:val="0"/>
        </w:rPr>
        <w:t xml:space="preserve"> …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1000 V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0.9% ± 2 dgt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dokładnośc pomiaru prądu stałego na zakresach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400 µA</w:t>
      </w:r>
      <w:r w:rsidDel="00000000" w:rsidR="00000000" w:rsidRPr="00000000">
        <w:rPr>
          <w:sz w:val="18"/>
          <w:szCs w:val="18"/>
          <w:rtl w:val="0"/>
        </w:rPr>
        <w:t xml:space="preserve"> …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400 mA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1.4% ± 3 dgt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Czerwona, zielona i niebieska dioda elektroluminescencyjna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Układ zasilający prądem stałym o płynnej regulacji napięcia zasilania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Monochromator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dokładnośc pomiaru długości fali oszacowana na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10 nm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209675"/>
            <wp:effectExtent b="0" l="0" r="0" t="0"/>
            <wp:docPr descr="spr_02.png" id="4" name="image12.png"/>
            <a:graphic>
              <a:graphicData uri="http://schemas.openxmlformats.org/drawingml/2006/picture">
                <pic:pic>
                  <pic:nvPicPr>
                    <pic:cNvPr descr="spr_02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k6q7cjme81" w:id="3"/>
      <w:bookmarkEnd w:id="3"/>
      <w:r w:rsidDel="00000000" w:rsidR="00000000" w:rsidRPr="00000000">
        <w:rPr>
          <w:rtl w:val="0"/>
        </w:rPr>
        <w:t xml:space="preserve">4. Przebieg ćwiczenia, wyniki oraz opracowanie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Układ pomiarowy połączono zgodnie ze schematem, używając odpowiednich złącz układu zasilającego. Na multimetrach wpiętych równolegle i szeregowo ustawiono tryb pomiaru odpowiednio napięcia stałego i prądu stałego.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Następnie na potencjometrze układu zasilającego ustawiono maksymalne napięcie zasilania i rozpoczęto pomiary napięcia i prądu. Kolejne odczyty otrzymywano zmniejszając ustawienie potencjometru za każdym razem o około ⅓ obrotu. Pomiary zakończono, gdy otrzymano więcej niż 20 odczytów o niezerowej wartości natężenia prądu.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Wyniki wraz z obliczonymi niepewnościami prezentuje poniższa tabela.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center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60"/>
        <w:gridCol w:w="735"/>
        <w:gridCol w:w="735"/>
        <w:gridCol w:w="735"/>
        <w:gridCol w:w="615"/>
        <w:gridCol w:w="735"/>
        <w:gridCol w:w="735"/>
        <w:gridCol w:w="735"/>
        <w:gridCol w:w="630"/>
        <w:gridCol w:w="735"/>
        <w:gridCol w:w="735"/>
        <w:gridCol w:w="750"/>
        <w:gridCol w:w="630"/>
        <w:tblGridChange w:id="0">
          <w:tblGrid>
            <w:gridCol w:w="360"/>
            <w:gridCol w:w="735"/>
            <w:gridCol w:w="735"/>
            <w:gridCol w:w="735"/>
            <w:gridCol w:w="615"/>
            <w:gridCol w:w="735"/>
            <w:gridCol w:w="735"/>
            <w:gridCol w:w="735"/>
            <w:gridCol w:w="630"/>
            <w:gridCol w:w="735"/>
            <w:gridCol w:w="735"/>
            <w:gridCol w:w="750"/>
            <w:gridCol w:w="630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Dioda czerwona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Dioda zielona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Dioda niebieska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u(U)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u(I)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u(U)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u(I)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u(U)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u(I) [mA]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2.969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2.923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1.794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Błąd gruby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Następnie ponownie ustawiono maksymalne napięcie zasilania na układzie zasilającym i wkładano diody po kolei do monochromatora w celu zmierzenia długości fali najsilniej emitowanego światła.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Uzyskane wyniki wyszczególniono poniżej.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Dioda czerwona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λ = 627 ± 10 nm</w:t>
      </w:r>
      <w:r w:rsidDel="00000000" w:rsidR="00000000" w:rsidRPr="00000000">
        <w:rPr>
          <w:rtl w:val="0"/>
        </w:rPr>
        <w:br w:type="textWrapping"/>
        <w:t xml:space="preserve">Dioda zielona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λ = 572 ± 10 nm</w:t>
      </w:r>
      <w:r w:rsidDel="00000000" w:rsidR="00000000" w:rsidRPr="00000000">
        <w:rPr>
          <w:rtl w:val="0"/>
        </w:rPr>
        <w:br w:type="textWrapping"/>
        <w:t xml:space="preserve">Dioda niebieska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λ = 464 ± 10 nm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Kolejnym etapem ćwiczenia było opracowanie otrzymanych wyników pomiarów. Sporządzono wykresy </w:t>
      </w:r>
      <w:r w:rsidDel="00000000" w:rsidR="00000000" w:rsidRPr="00000000">
        <w:rPr>
          <w:b w:val="1"/>
          <w:rtl w:val="0"/>
        </w:rPr>
        <w:t xml:space="preserve">(Sekcja 6.)</w:t>
      </w:r>
      <w:r w:rsidDel="00000000" w:rsidR="00000000" w:rsidRPr="00000000">
        <w:rPr>
          <w:rtl w:val="0"/>
        </w:rPr>
        <w:t xml:space="preserve"> zależności prądu od napięcia (a więc charakterystyki prądowo-napięciowej). Na podstawie wykresów oszacowano, które wyniki wchodzą w skład prostoliniowych odcinków charakterystyk, a następnie metodą regresji liniowej (funkcja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LINEST</w:t>
      </w:r>
      <w:r w:rsidDel="00000000" w:rsidR="00000000" w:rsidRPr="00000000">
        <w:rPr>
          <w:rtl w:val="0"/>
        </w:rPr>
        <w:t xml:space="preserve"> w Google Spreadsheets) ustalono parametry prostych przybliżających te odcinki. Wyznaczono miejsca zerowe w/w prostych, co posłużyło do określenia napięć odpowiadających barierom potencjału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ten sposób skompletowano dane potrzebne do wyliczenia stałej Plancka, pozostało więc podstawić je do wzoru oraz obliczyć niepewności.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Poniżej przedstawiono wyniki oraz obliczenia na przykładzie diody czerwonej.</w:t>
      </w:r>
    </w:p>
    <w:tbl>
      <w:tblPr>
        <w:tblStyle w:val="Table3"/>
        <w:tblW w:w="964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63.7795275590553"/>
        <w:gridCol w:w="1077.1653543307089"/>
        <w:gridCol w:w="360"/>
        <w:gridCol w:w="1077.1653543307089"/>
        <w:gridCol w:w="360"/>
        <w:gridCol w:w="1077.1653543307089"/>
        <w:gridCol w:w="360"/>
        <w:gridCol w:w="1077.1653543307089"/>
        <w:gridCol w:w="377.74278215222995"/>
        <w:gridCol w:w="1077.1653543307089"/>
        <w:gridCol w:w="377.74278215222995"/>
        <w:gridCol w:w="1077.1653543307089"/>
        <w:gridCol w:w="377.74278215222995"/>
        <w:tblGridChange w:id="0">
          <w:tblGrid>
            <w:gridCol w:w="963.7795275590553"/>
            <w:gridCol w:w="1077.1653543307089"/>
            <w:gridCol w:w="360"/>
            <w:gridCol w:w="1077.1653543307089"/>
            <w:gridCol w:w="360"/>
            <w:gridCol w:w="1077.1653543307089"/>
            <w:gridCol w:w="360"/>
            <w:gridCol w:w="1077.1653543307089"/>
            <w:gridCol w:w="377.74278215222995"/>
            <w:gridCol w:w="1077.1653543307089"/>
            <w:gridCol w:w="377.74278215222995"/>
            <w:gridCol w:w="1077.1653543307089"/>
            <w:gridCol w:w="377.7427821522299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Dioda czerwona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Dioda zielona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Dioda niebieska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wartość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168.4087132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-316.7970551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242.216338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-474.6938163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55.27669143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-153.0995172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nie-</w:t>
              <w:br w:type="textWrapping"/>
              <w:t xml:space="preserve">pewność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7.468084574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14.79219632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38.45458608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78.53910049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1.926929897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5.703515512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wynik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168.4 ± 7.5 [mA/V]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-317 ± 15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242 ± 39 [mA/V]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-475 ± 79 [mA]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55.3 ± 2.0 [mA/V]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-153.1 ± 5.8 [mA]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Ub [V]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1.88 ± 0.13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1.96 ± 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2.77 ± 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h [J∙s]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(6.30 ± 0.45) ∙ 10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perscript"/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(6.0 ± 1.5) ∙ 10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perscript"/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(6.87 ± 0.41) ∙ 10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perscript"/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56430" cy="5289712"/>
            <wp:effectExtent b="0" l="0" r="0" t="0"/>
            <wp:docPr descr="spr_03.png" id="2" name="image10.png"/>
            <a:graphic>
              <a:graphicData uri="http://schemas.openxmlformats.org/drawingml/2006/picture">
                <pic:pic>
                  <pic:nvPicPr>
                    <pic:cNvPr descr="spr_03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430" cy="528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96r0hugzo3ls" w:id="4"/>
      <w:bookmarkEnd w:id="4"/>
      <w:r w:rsidDel="00000000" w:rsidR="00000000" w:rsidRPr="00000000">
        <w:rPr>
          <w:rtl w:val="0"/>
        </w:rPr>
        <w:t xml:space="preserve">5. Wnioski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W przedziałach niepewności obliczonych wartości stałej Plancka:</w:t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(6.30 ± 0.45)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J∙s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(6.0 ± 1.5)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J∙s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(6.87 ± 0.41)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J∙s</w:t>
        <w:br w:type="textWrapping"/>
      </w:r>
      <w:r w:rsidDel="00000000" w:rsidR="00000000" w:rsidRPr="00000000">
        <w:rPr>
          <w:rtl w:val="0"/>
        </w:rPr>
        <w:t xml:space="preserve">mieści się faktyczna stała Plancka, tj.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(6.626070040 ± 0.000000081) ∙ 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J∙s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Pokazuje to, że mimo niedokładności dostępnych przyrządów i metod pomiarowych otrzymane wyniki są poprawne.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Dość duże (w skali rzędu wielkości stałej Plancka) niepewności są zapewne w większości spowodowane: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niedokładnością zastosowanych multimetrów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ograniczoną liczbą próbek (niewiele ponad 20 pomiarów na diodę, z czego tylko kilka układało się prostoliniowo);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słabą jakością diod, które emitowały bardzo szeroki podzakres światła widzialnego (zamiast wąskich jego wycinków);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bardzo niedokładną wizualną metodą pomiaru długości fali zamiast użycia odpowiedniego przyrządu optycznego bądź optoelektrycznego.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Podczas dokonywania pomiarów popełniono błąd w zapisie, w efekcie czego jeden z otrzymanych wyników nie nadawał się do opracowania. Nie wpłynęło to jednak na dokładność końcowych obliczeń.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p4rp60xj7ztu" w:id="5"/>
      <w:bookmarkEnd w:id="5"/>
      <w:r w:rsidDel="00000000" w:rsidR="00000000" w:rsidRPr="00000000">
        <w:rPr>
          <w:rtl w:val="0"/>
        </w:rPr>
        <w:t xml:space="preserve">6. Wykresy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Dioda czerwona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228600</wp:posOffset>
            </wp:positionV>
            <wp:extent cx="6343650" cy="3920125"/>
            <wp:effectExtent b="0" l="0" r="0" t="0"/>
            <wp:wrapSquare wrapText="bothSides" distB="114300" distT="114300" distL="114300" distR="114300"/>
            <wp:docPr descr="Chart" id="7" name="image16.png"/>
            <a:graphic>
              <a:graphicData uri="http://schemas.openxmlformats.org/drawingml/2006/picture">
                <pic:pic>
                  <pic:nvPicPr>
                    <pic:cNvPr descr="Chart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3971925</wp:posOffset>
            </wp:positionV>
            <wp:extent cx="6343650" cy="3914775"/>
            <wp:effectExtent b="0" l="0" r="0" t="0"/>
            <wp:wrapSquare wrapText="bothSides" distB="114300" distT="114300" distL="114300" distR="114300"/>
            <wp:docPr descr="Chart" id="5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Dioda zielona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228600</wp:posOffset>
            </wp:positionV>
            <wp:extent cx="6343650" cy="3920125"/>
            <wp:effectExtent b="0" l="0" r="0" t="0"/>
            <wp:wrapSquare wrapText="bothSides" distB="114300" distT="114300" distL="114300" distR="114300"/>
            <wp:docPr descr="Chart" id="6" name="image15.png"/>
            <a:graphic>
              <a:graphicData uri="http://schemas.openxmlformats.org/drawingml/2006/picture">
                <pic:pic>
                  <pic:nvPicPr>
                    <pic:cNvPr descr="Chart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3971925</wp:posOffset>
            </wp:positionV>
            <wp:extent cx="6343650" cy="3920125"/>
            <wp:effectExtent b="0" l="0" r="0" t="0"/>
            <wp:wrapSquare wrapText="bothSides" distB="114300" distT="114300" distL="114300" distR="114300"/>
            <wp:docPr descr="Chart" id="3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Dioda niebieska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228600</wp:posOffset>
            </wp:positionV>
            <wp:extent cx="6343650" cy="3920125"/>
            <wp:effectExtent b="0" l="0" r="0" t="0"/>
            <wp:wrapSquare wrapText="bothSides" distB="114300" distT="114300" distL="114300" distR="114300"/>
            <wp:docPr descr="Chart" id="9" name="image18.png"/>
            <a:graphic>
              <a:graphicData uri="http://schemas.openxmlformats.org/drawingml/2006/picture">
                <pic:pic>
                  <pic:nvPicPr>
                    <pic:cNvPr descr="Chart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ragraph">
              <wp:posOffset>3971925</wp:posOffset>
            </wp:positionV>
            <wp:extent cx="6343650" cy="3920125"/>
            <wp:effectExtent b="0" l="0" r="0" t="0"/>
            <wp:wrapSquare wrapText="bothSides" distB="114300" distT="114300" distL="114300" distR="114300"/>
            <wp:docPr descr="Chart" id="8" name="image17.png"/>
            <a:graphic>
              <a:graphicData uri="http://schemas.openxmlformats.org/drawingml/2006/picture">
                <pic:pic>
                  <pic:nvPicPr>
                    <pic:cNvPr descr="Chart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pgSz w:h="16838" w:w="11906"/>
      <w:pgMar w:bottom="1247.2440944881891" w:top="1247.2440944881891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4" Type="http://schemas.openxmlformats.org/officeDocument/2006/relationships/header" Target="header1.xml"/><Relationship Id="rId5" Type="http://schemas.openxmlformats.org/officeDocument/2006/relationships/image" Target="media/image3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