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Sprawozdanie z laboratorium 7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26.04.2017; 7:30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4680"/>
        <w:tblGridChange w:id="0">
          <w:tblGrid>
            <w:gridCol w:w="391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 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192.168.255.72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 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BC-5F-F4-1B-60-1C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 IP bramy domyślnej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192.168.255.254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 IP serwera 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156.17.5.2 i 156.17.18.10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adres IP Twojego serwera DNS?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156.17.5.2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156.17.18.10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adres serwera Google?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172.217.20.164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numer portu źródłowego TCP?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 można sklasyfikować port źródłowy? (Jakiego typu jest port źródłowy)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TCP/UDP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numer portu docelowego TCP?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Jak można sklasyfikować port docelowy? (Jakiego typu jest port docelowy)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Która flaga (lub flagi) są ustawione (1)?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Jaka jest wartość numeru sekwencyjnego?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Jakie są wartości portów źródłowych i docelowych?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443 -&gt; 1723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Które flagi są ustawione?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SYN, ACK (Acknowledgment)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Jakie są względne numery sekwencyjne i potwierdzenia?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0, 1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Która flaga (lub flagi) jest ustawiona?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źródłowy adres MAC dla komputera lokalnego jest taki sam jak w części 1?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340"/>
        <w:gridCol w:w="3120"/>
        <w:tblGridChange w:id="0">
          <w:tblGrid>
            <w:gridCol w:w="3210"/>
            <w:gridCol w:w="234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Urządzenie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 MAC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Lokalny komputer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192.168.255.72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bc:5f:f4:1b:60:1c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Serwer 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156.17.18.10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00:26:cb:5b:df:a1</w:t>
            </w:r>
          </w:p>
        </w:tc>
      </w:tr>
    </w:tbl>
    <w:p w:rsidR="00000000" w:rsidDel="00000000" w:rsidP="00000000" w:rsidRDefault="00000000" w:rsidRPr="00000000">
      <w:pPr>
        <w:ind w:left="690" w:firstLine="0"/>
        <w:contextualSpacing w:val="0"/>
        <w:rPr/>
      </w:pPr>
      <w:r w:rsidDel="00000000" w:rsidR="00000000" w:rsidRPr="00000000">
        <w:rPr>
          <w:rtl w:val="0"/>
        </w:rPr>
        <w:t xml:space="preserve">Dane w tabelce powyżej nie oddają danych bramy domyślnej, czyli routera, ponieważ w naszej sieci serwer DNS to inne urządzenie niż router.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4680"/>
        <w:tblGridChange w:id="0">
          <w:tblGrid>
            <w:gridCol w:w="394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Rozmiar ramki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Źródłowy adres MAC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bc:5f:f4:1b:60:1c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Docelowy adres MAC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00:26:cb:5b:df:a1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Źródłowy adres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192.168.255.72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Docelowy adres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156.17.18.10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 źródłowy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57422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 docelowy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źródłowy adres IP jest taki sam jak adres IP komputera lokalnego w części 1?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docelowy adres IP jest taki sam jak brama domyślna w części 1?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Nie, adresem docelowym jest serwer DNS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 podstawie analizy ramki Ethernet II w odpowiedzi DNS, odpowiedz na pytanie: z jakiego urządzenia pochodzi źródłowy adres MAC i docelowy adres MAC?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 serwera DNS i do lokalnego komputera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Zwróć uwagę na źródłowy i docelowy adres IP w pakiecie. Jaki jest docelowy adres IP? Jaki jest źródłowy adres IP?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Docelowy adres IP: </w:t>
      </w:r>
      <w:r w:rsidDel="00000000" w:rsidR="00000000" w:rsidRPr="00000000">
        <w:rPr>
          <w:rtl w:val="0"/>
        </w:rPr>
        <w:t xml:space="preserve">192.168.255.72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Źródłowy adres IP: </w:t>
      </w:r>
      <w:r w:rsidDel="00000000" w:rsidR="00000000" w:rsidRPr="00000000">
        <w:rPr>
          <w:rtl w:val="0"/>
        </w:rPr>
        <w:t xml:space="preserve">156.17.18.10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 stało się z adresem źródłowym i docelowym dla lokalnego hosta oraz bramą domyślną?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Zostały zamienione (nie brama domyślna, a adres serwera DNS)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Jakie są zalety korzystania z protokołu UDP zamiast protokołu TCP w warstwie transportowej dla DNS?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Mniejsze opóźnienia i możliwość wykonywania transmisji do wiele użytkowników jednocześnie.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Wykonanie części czwartej i piątej było niemożliwe z powodów problemów z połączeniem FTP.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