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0CCAB" w14:textId="77777777" w:rsidR="00A214F7" w:rsidRDefault="00A214F7">
      <w:pPr>
        <w:spacing w:line="480" w:lineRule="auto"/>
      </w:pPr>
    </w:p>
    <w:p w14:paraId="7878AADD" w14:textId="77777777" w:rsidR="00A214F7" w:rsidRDefault="00A214F7">
      <w:pPr>
        <w:spacing w:line="480" w:lineRule="auto"/>
      </w:pPr>
    </w:p>
    <w:p w14:paraId="483FCBF5" w14:textId="77777777" w:rsidR="00A214F7" w:rsidRDefault="00A214F7">
      <w:pPr>
        <w:spacing w:line="480" w:lineRule="auto"/>
      </w:pPr>
    </w:p>
    <w:p w14:paraId="1FA0A1DA" w14:textId="2271D173" w:rsidR="00A214F7" w:rsidRDefault="00000000" w:rsidP="00EE4542">
      <w:pPr>
        <w:spacing w:line="480" w:lineRule="auto"/>
        <w:jc w:val="center"/>
      </w:pPr>
      <w:r>
        <w:rPr>
          <w:b/>
          <w:bCs/>
        </w:rPr>
        <w:t xml:space="preserve">Lower Fees, Uneven Participation in Alberta and Ontario</w:t>
      </w:r>
    </w:p>
    <w:p w14:paraId="706DD85F" w14:textId="77777777" w:rsidR="00A214F7" w:rsidRDefault="00000000">
      <w:pPr>
        <w:spacing w:line="480" w:lineRule="auto"/>
        <w:jc w:val="center"/>
      </w:pPr>
      <w:r>
        <w:t>Jiecheng Yang</w:t>
      </w:r>
    </w:p>
    <w:p w14:paraId="4112ACD9" w14:textId="77777777" w:rsidR="00A214F7" w:rsidRDefault="00000000">
      <w:pPr>
        <w:spacing w:line="480" w:lineRule="auto"/>
        <w:jc w:val="center"/>
      </w:pPr>
      <w:r>
        <w:t>George Brown Polytechnic</w:t>
      </w:r>
    </w:p>
    <w:p w14:paraId="047DCFBC" w14:textId="77777777" w:rsidR="00A214F7" w:rsidRDefault="00000000">
      <w:pPr>
        <w:spacing w:line="480" w:lineRule="auto"/>
        <w:jc w:val="center"/>
        <w:rPr>
          <w:rFonts w:eastAsia="宋体"/>
        </w:rPr>
      </w:pPr>
      <w:r>
        <w:t>Bachelor of Early Childhood Education – Honours</w:t>
      </w:r>
      <w:r>
        <w:rPr>
          <w:rFonts w:eastAsia="宋体" w:hint="eastAsia"/>
        </w:rPr>
        <w:t xml:space="preserve"> </w:t>
      </w:r>
    </w:p>
    <w:p w14:paraId="69971D09" w14:textId="77777777" w:rsidR="00A214F7" w:rsidRDefault="00000000">
      <w:pPr>
        <w:spacing w:line="480" w:lineRule="auto"/>
        <w:jc w:val="center"/>
      </w:pPr>
      <w:r>
        <w:t>ECL 3202: Early Childhood Programs and Systems Delivery</w:t>
      </w:r>
    </w:p>
    <w:p w14:paraId="6541D5E2" w14:textId="77777777" w:rsidR="00A214F7" w:rsidRDefault="00000000">
      <w:pPr>
        <w:spacing w:line="480" w:lineRule="auto"/>
        <w:jc w:val="center"/>
      </w:pPr>
      <w:r>
        <w:t>Professor</w:t>
      </w:r>
      <w:r>
        <w:rPr>
          <w:rFonts w:eastAsia="宋体" w:hint="eastAsia"/>
        </w:rPr>
        <w:t>:</w:t>
      </w:r>
      <w:r>
        <w:t xml:space="preserve"> Ce Cil Kim</w:t>
      </w:r>
    </w:p>
    <w:p w14:paraId="29B7235B" w14:textId="77777777" w:rsidR="00A214F7" w:rsidRDefault="00000000">
      <w:pPr>
        <w:spacing w:line="480" w:lineRule="auto"/>
        <w:jc w:val="center"/>
      </w:pPr>
      <w:r>
        <w:t>October 1</w:t>
      </w:r>
      <w:r>
        <w:rPr>
          <w:rFonts w:eastAsia="宋体" w:hint="eastAsia"/>
        </w:rPr>
        <w:t>8</w:t>
      </w:r>
      <w:r>
        <w:t>, 2026</w:t>
      </w:r>
    </w:p>
    <w:p w14:paraId="71D4353E" w14:textId="77777777" w:rsidR="00A214F7" w:rsidRDefault="00000000">
      <w:r>
        <w:br w:type="page"/>
      </w:r>
    </w:p>
    <w:p w14:paraId="750B8DE5" w14:textId="77777777" w:rsidR="00A214F7" w:rsidRDefault="00000000">
      <w:pPr>
        <w:spacing w:line="480" w:lineRule="auto"/>
        <w:jc w:val="center"/>
      </w:pPr>
      <w:r>
        <w:rPr>
          <w:b/>
          <w:bCs/>
        </w:rPr>
        <w:t xml:space="preserve">Lower Fees, Uneven Participation in Alberta and Ontario</w:t>
      </w:r>
    </w:p>
    <w:p w14:paraId="574F8C7E" w14:textId="77777777" w:rsidR="00A214F7" w:rsidRDefault="00000000">
      <w:pPr>
        <w:spacing w:line="480" w:lineRule="auto"/>
        <w:ind w:firstLine="720"/>
      </w:pPr>
      <w:r>
        <w:t xml:space="preserve">The Canada-Wide Early Learning and Child Care (CWELCC) agreements asked every province to do the same thing: replace high parent fees with public funding. Each province, however, has built a different system to do it. This report compares Alberta and Ontario through Focus (a), financing CWELCC implementation. I argue that the two provinces converge on a publicly funded, set-fee model delivered through a mixed public–private market, but diverge sharply on low-income families. Alberta replaced its younger-child subsidy with standardized eligible base fees, while Ontario kept a capped fee plus a municipally administered subsidy. The evidence reviewed here suggests that lower fees alone have not ensured equitable participation, and Ontario can learn from Alberta’s transparency while treating its retreat from targeted support as a warning.</w:t>
      </w:r>
    </w:p>
    <w:p w14:paraId="21CD92D2" w14:textId="77777777" w:rsidR="00A214F7" w:rsidRDefault="00000000">
      <w:pPr>
        <w:spacing w:line="480" w:lineRule="auto"/>
        <w:jc w:val="center"/>
      </w:pPr>
      <w:r>
        <w:rPr>
          <w:b/>
          <w:bCs/>
        </w:rPr>
        <w:t>Alberta’s ECEC Context</w:t>
      </w:r>
    </w:p>
    <w:p w14:paraId="66863BFB" w14:textId="77777777" w:rsidR="00A214F7" w:rsidRDefault="00000000">
      <w:pPr>
        <w:spacing w:line="480" w:lineRule="auto"/>
        <w:ind w:firstLine="720"/>
      </w:pPr>
      <w:r>
        <w:t xml:space="preserve">Alberta licenses facility-based daycare, family day home agencies, preschools, and out-of-school care, and </w:t>
      </w:r>
      <w:r>
        <w:rPr>
          <w:i/>
          <w:iCs/>
        </w:rPr>
        <w:t>Flight: Alberta’s Early Learning and Care Framework</w:t>
      </w:r>
      <w:r>
        <w:t xml:space="preserve"> guides pedagogy (</w:t>
      </w:r>
      <w:proofErr w:type="spellStart"/>
      <w:r>
        <w:t>Makovichuk</w:t>
      </w:r>
      <w:proofErr w:type="spellEnd"/>
      <w:r>
        <w:t xml:space="preserve"> et al., 2014). Historically, the province relied more on commercial operators and demand-side subsidies than most of Canada (Langford, 2011), a legacy reflected in its mixed provider system. Alberta signed a </w:t>
      </w:r>
      <w:proofErr w:type="gramStart"/>
      <w:r>
        <w:t>$3.8-billion</w:t>
      </w:r>
      <w:proofErr w:type="gramEnd"/>
      <w:r>
        <w:t xml:space="preserve"> CWELCC agreement in November 2021. Standardized eligible fees began in April 2025 (Government of Alberta, 2026a; see Table 1</w:t>
      </w:r>
      <w:proofErr w:type="gramStart"/>
      <w:r>
        <w:t xml:space="preserve">). In</w:t>
      </w:r>
      <w:proofErr w:type="gramEnd"/>
      <w:r>
        <w:t xml:space="preserve"> May 2025, the province reached its federally funded cap on new for-profit spaces, leaving some new </w:t>
      </w:r>
      <w:proofErr w:type="spellStart"/>
      <w:r>
        <w:t>centres</w:t>
      </w:r>
      <w:proofErr w:type="spellEnd"/>
      <w:r>
        <w:t xml:space="preserve"> outside the fee-reduction system (Villani, 2025). Rather than a five-year renewal, Alberta signed a one-year extension worth about $1.17 billion that runs to March 31, 2027 (Employment and Social Development </w:t>
      </w:r>
      <w:proofErr w:type="gramStart"/>
      <w:r>
        <w:t xml:space="preserve">Canada [</w:t>
      </w:r>
      <w:proofErr w:type="gramEnd"/>
      <w:r>
        <w:t>ESDC], 2025a), so its long-term funding remains unsettled.</w:t>
      </w:r>
    </w:p>
    <w:p w14:paraId="46B80724" w14:textId="77777777" w:rsidR="00A214F7" w:rsidRDefault="00000000">
      <w:pPr>
        <w:spacing w:line="480" w:lineRule="auto"/>
      </w:pPr>
      <w:r>
        <w:rPr>
          <w:b/>
          <w:bCs/>
        </w:rPr>
        <w:lastRenderedPageBreak/>
        <w:t>The Ontario Baseline</w:t>
      </w:r>
    </w:p>
    <w:p w14:paraId="1CF6CCB1" w14:textId="77777777" w:rsidR="00A214F7" w:rsidRDefault="00000000">
      <w:pPr>
        <w:spacing w:line="480" w:lineRule="auto"/>
        <w:ind w:firstLine="720"/>
      </w:pPr>
      <w:r>
        <w:t xml:space="preserve">Under the </w:t>
      </w:r>
      <w:r>
        <w:rPr>
          <w:i/>
          <w:iCs/>
        </w:rPr>
        <w:t>Child Care and Early Years Act, 2014</w:t>
      </w:r>
      <w:r>
        <w:t xml:space="preserve">, Ontario’s 47 service system managers, which are municipalities and district boards, administer provincial funding and fee subsidies locally (s. 56). Ontario joined CWELCC in 2022, cut fees by half, and in January 2025 introduced a new funding formula with a $22-a-day </w:t>
      </w:r>
      <w:proofErr w:type="spellStart"/>
      <w:proofErr w:type="gramStart"/>
      <w:r>
        <w:t xml:space="preserve">cap, with</w:t>
      </w:r>
      <w:proofErr w:type="spellEnd"/>
      <w:proofErr w:type="gramEnd"/>
      <w:r>
        <w:t xml:space="preserve"> a reported $19 average for eligible CWELCC </w:t>
      </w:r>
      <w:proofErr w:type="gramStart"/>
      <w:r>
        <w:t xml:space="preserve">fees (</w:t>
      </w:r>
      <w:proofErr w:type="gramEnd"/>
      <w:r>
        <w:t>Government of Ontario, n.d.; ESDC, 2025b). In September 2026, Ontario signed a four-year agreement but committed only to holding fees at current levels until June 30, 2027 (The Canadian Press, 2026). Table 1 summarizes the two financing models.</w:t>
      </w:r>
    </w:p>
    <w:p w14:paraId="43176942" w14:textId="77777777" w:rsidR="00A214F7" w:rsidRDefault="00000000">
      <w:pPr>
        <w:spacing w:line="480" w:lineRule="auto"/>
      </w:pPr>
      <w:r>
        <w:rPr>
          <w:b/>
          <w:bCs/>
        </w:rPr>
        <w:t>Table 1</w:t>
      </w:r>
    </w:p>
    <w:p w14:paraId="742DE356" w14:textId="77777777" w:rsidR="00A214F7" w:rsidRDefault="00000000">
      <w:pPr>
        <w:spacing w:line="480" w:lineRule="auto"/>
      </w:pPr>
      <w:r>
        <w:rPr>
          <w:i/>
          <w:iCs/>
        </w:rPr>
        <w:t>Key CWELCC Financing Features in Alberta and Ontario, October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214F7" w14:paraId="6758DFCC" w14:textId="77777777">
        <w:trPr>
          <w:tblHeader/>
        </w:trPr>
        <w:tc>
          <w:tcPr>
            <w:tcW w:w="2400" w:type="dxa"/>
            <w:tcBorders>
              <w:top w:val="single" w:sz="6" w:space="0" w:color="000000"/>
              <w:left w:val="nil"/>
              <w:bottom w:val="single" w:sz="6" w:space="0" w:color="000000"/>
              <w:right w:val="nil"/>
            </w:tcBorders>
            <w:tcMar>
              <w:top w:w="60" w:type="dxa"/>
              <w:left w:w="80" w:type="dxa"/>
              <w:bottom w:w="60" w:type="dxa"/>
              <w:right w:w="80" w:type="dxa"/>
            </w:tcMar>
          </w:tcPr>
          <w:p w14:paraId="1F775CB2" w14:textId="77777777" w:rsidR="00A214F7" w:rsidRDefault="00000000">
            <w:r>
              <w:rPr>
                <w:b/>
                <w:bCs/>
                <w:sz w:val="20"/>
                <w:szCs w:val="20"/>
              </w:rPr>
              <w:t>Feature</w:t>
            </w:r>
          </w:p>
        </w:tc>
        <w:tc>
          <w:tcPr>
            <w:tcW w:w="3480" w:type="dxa"/>
            <w:tcBorders>
              <w:top w:val="single" w:sz="6" w:space="0" w:color="000000"/>
              <w:left w:val="nil"/>
              <w:bottom w:val="single" w:sz="6" w:space="0" w:color="000000"/>
              <w:right w:val="nil"/>
            </w:tcBorders>
            <w:tcMar>
              <w:top w:w="60" w:type="dxa"/>
              <w:left w:w="80" w:type="dxa"/>
              <w:bottom w:w="60" w:type="dxa"/>
              <w:right w:w="80" w:type="dxa"/>
            </w:tcMar>
          </w:tcPr>
          <w:p w14:paraId="412BD548" w14:textId="77777777" w:rsidR="00A214F7" w:rsidRDefault="00000000">
            <w:r>
              <w:rPr>
                <w:b/>
                <w:bCs/>
                <w:sz w:val="20"/>
                <w:szCs w:val="20"/>
              </w:rPr>
              <w:t>Alberta</w:t>
            </w:r>
          </w:p>
        </w:tc>
        <w:tc>
          <w:tcPr>
            <w:tcW w:w="3480" w:type="dxa"/>
            <w:tcBorders>
              <w:top w:val="single" w:sz="6" w:space="0" w:color="000000"/>
              <w:left w:val="nil"/>
              <w:bottom w:val="single" w:sz="6" w:space="0" w:color="000000"/>
              <w:right w:val="nil"/>
            </w:tcBorders>
            <w:tcMar>
              <w:top w:w="60" w:type="dxa"/>
              <w:left w:w="80" w:type="dxa"/>
              <w:bottom w:w="60" w:type="dxa"/>
              <w:right w:w="80" w:type="dxa"/>
            </w:tcMar>
          </w:tcPr>
          <w:p w14:paraId="49A202F9" w14:textId="77777777" w:rsidR="00A214F7" w:rsidRDefault="00000000">
            <w:r>
              <w:rPr>
                <w:b/>
                <w:bCs/>
                <w:sz w:val="20"/>
                <w:szCs w:val="20"/>
              </w:rPr>
              <w:t>Ontario</w:t>
            </w:r>
          </w:p>
        </w:tc>
      </w:tr>
      <w:tr w:rsidR="00A214F7" w14:paraId="058ECA9C" w14:textId="77777777">
        <w:trPr>
          <w:cantSplit/>
        </w:trPr>
        <w:tc>
          <w:tcPr>
            <w:tcW w:w="2400" w:type="dxa"/>
            <w:tcBorders>
              <w:top w:val="nil"/>
              <w:left w:val="nil"/>
              <w:bottom w:val="nil"/>
              <w:right w:val="nil"/>
            </w:tcBorders>
            <w:tcMar>
              <w:top w:w="60" w:type="dxa"/>
              <w:left w:w="80" w:type="dxa"/>
              <w:bottom w:w="60" w:type="dxa"/>
              <w:right w:w="80" w:type="dxa"/>
            </w:tcMar>
          </w:tcPr>
          <w:p w14:paraId="578E910A" w14:textId="77777777" w:rsidR="00A214F7" w:rsidRDefault="00000000">
            <w:r>
              <w:rPr>
                <w:sz w:val="20"/>
                <w:szCs w:val="20"/>
              </w:rPr>
              <w:t>Eligible base fees (participating services; age and attendance conditions apply)</w:t>
            </w:r>
          </w:p>
        </w:tc>
        <w:tc>
          <w:tcPr>
            <w:tcW w:w="3480" w:type="dxa"/>
            <w:tcBorders>
              <w:top w:val="nil"/>
              <w:left w:val="nil"/>
              <w:bottom w:val="nil"/>
              <w:right w:val="nil"/>
            </w:tcBorders>
            <w:tcMar>
              <w:top w:w="60" w:type="dxa"/>
              <w:left w:w="80" w:type="dxa"/>
              <w:bottom w:w="60" w:type="dxa"/>
              <w:right w:w="80" w:type="dxa"/>
            </w:tcMar>
          </w:tcPr>
          <w:p w14:paraId="135F171C" w14:textId="77777777" w:rsidR="00A214F7" w:rsidRDefault="00000000">
            <w:r>
              <w:rPr>
                <w:sz w:val="20"/>
                <w:szCs w:val="20"/>
              </w:rPr>
              <w:t>Funded daycare/family day home: $326.25/month full-time (100+ hours); $230/month part-time (50–99 hours)</w:t>
            </w:r>
          </w:p>
        </w:tc>
        <w:tc>
          <w:tcPr>
            <w:tcW w:w="3480" w:type="dxa"/>
            <w:tcBorders>
              <w:top w:val="nil"/>
              <w:left w:val="nil"/>
              <w:bottom w:val="nil"/>
              <w:right w:val="nil"/>
            </w:tcBorders>
            <w:tcMar>
              <w:top w:w="60" w:type="dxa"/>
              <w:left w:w="80" w:type="dxa"/>
              <w:bottom w:w="60" w:type="dxa"/>
              <w:right w:w="80" w:type="dxa"/>
            </w:tcMar>
          </w:tcPr>
          <w:p w14:paraId="420644EB" w14:textId="77777777" w:rsidR="00A214F7" w:rsidRDefault="00000000">
            <w:r>
              <w:rPr>
                <w:sz w:val="20"/>
                <w:szCs w:val="20"/>
              </w:rPr>
              <w:t>Eligible CWELCC fees capped at $22/day; reported average $19/day</w:t>
            </w:r>
          </w:p>
        </w:tc>
      </w:tr>
      <w:tr w:rsidR="00A214F7" w14:paraId="4A389C5A" w14:textId="77777777">
        <w:trPr>
          <w:cantSplit/>
        </w:trPr>
        <w:tc>
          <w:tcPr>
            <w:tcW w:w="2400" w:type="dxa"/>
            <w:tcBorders>
              <w:top w:val="nil"/>
              <w:left w:val="nil"/>
              <w:bottom w:val="nil"/>
              <w:right w:val="nil"/>
            </w:tcBorders>
            <w:tcMar>
              <w:top w:w="60" w:type="dxa"/>
              <w:left w:w="80" w:type="dxa"/>
              <w:bottom w:w="60" w:type="dxa"/>
              <w:right w:w="80" w:type="dxa"/>
            </w:tcMar>
          </w:tcPr>
          <w:p w14:paraId="51FF70FA" w14:textId="77777777" w:rsidR="00A214F7" w:rsidRDefault="00000000">
            <w:r>
              <w:rPr>
                <w:sz w:val="20"/>
                <w:szCs w:val="20"/>
              </w:rPr>
              <w:t>Funding channel</w:t>
            </w:r>
          </w:p>
        </w:tc>
        <w:tc>
          <w:tcPr>
            <w:tcW w:w="3480" w:type="dxa"/>
            <w:tcBorders>
              <w:top w:val="nil"/>
              <w:left w:val="nil"/>
              <w:bottom w:val="nil"/>
              <w:right w:val="nil"/>
            </w:tcBorders>
            <w:tcMar>
              <w:top w:w="60" w:type="dxa"/>
              <w:left w:w="80" w:type="dxa"/>
              <w:bottom w:w="60" w:type="dxa"/>
              <w:right w:w="80" w:type="dxa"/>
            </w:tcMar>
          </w:tcPr>
          <w:p w14:paraId="4F9E0A66" w14:textId="77777777" w:rsidR="00A214F7" w:rsidRDefault="00000000">
            <w:r>
              <w:rPr>
                <w:sz w:val="20"/>
                <w:szCs w:val="20"/>
              </w:rPr>
              <w:t>Provincial Affordability Grant paid directly to licensed operators</w:t>
            </w:r>
          </w:p>
        </w:tc>
        <w:tc>
          <w:tcPr>
            <w:tcW w:w="3480" w:type="dxa"/>
            <w:tcBorders>
              <w:top w:val="nil"/>
              <w:left w:val="nil"/>
              <w:bottom w:val="nil"/>
              <w:right w:val="nil"/>
            </w:tcBorders>
            <w:tcMar>
              <w:top w:w="60" w:type="dxa"/>
              <w:left w:w="80" w:type="dxa"/>
              <w:bottom w:w="60" w:type="dxa"/>
              <w:right w:w="80" w:type="dxa"/>
            </w:tcMar>
          </w:tcPr>
          <w:p w14:paraId="7D01D440" w14:textId="77777777" w:rsidR="00A214F7" w:rsidRDefault="00000000">
            <w:r>
              <w:rPr>
                <w:sz w:val="20"/>
                <w:szCs w:val="20"/>
              </w:rPr>
              <w:t>Cost-based operating funding administered by 47 local service system managers</w:t>
            </w:r>
          </w:p>
        </w:tc>
      </w:tr>
      <w:tr w:rsidR="00A214F7" w14:paraId="5A6D4D08" w14:textId="77777777">
        <w:trPr>
          <w:cantSplit/>
        </w:trPr>
        <w:tc>
          <w:tcPr>
            <w:tcW w:w="2400" w:type="dxa"/>
            <w:tcBorders>
              <w:top w:val="nil"/>
              <w:left w:val="nil"/>
              <w:bottom w:val="nil"/>
              <w:right w:val="nil"/>
            </w:tcBorders>
            <w:tcMar>
              <w:top w:w="60" w:type="dxa"/>
              <w:left w:w="80" w:type="dxa"/>
              <w:bottom w:w="60" w:type="dxa"/>
              <w:right w:w="80" w:type="dxa"/>
            </w:tcMar>
          </w:tcPr>
          <w:p w14:paraId="78D30155" w14:textId="77777777" w:rsidR="00A214F7" w:rsidRDefault="00000000">
            <w:r>
              <w:rPr>
                <w:sz w:val="20"/>
                <w:szCs w:val="20"/>
              </w:rPr>
              <w:t>Low-income support for children under kindergarten age</w:t>
            </w:r>
          </w:p>
        </w:tc>
        <w:tc>
          <w:tcPr>
            <w:tcW w:w="3480" w:type="dxa"/>
            <w:tcBorders>
              <w:top w:val="nil"/>
              <w:left w:val="nil"/>
              <w:bottom w:val="nil"/>
              <w:right w:val="nil"/>
            </w:tcBorders>
            <w:tcMar>
              <w:top w:w="60" w:type="dxa"/>
              <w:left w:w="80" w:type="dxa"/>
              <w:bottom w:w="60" w:type="dxa"/>
              <w:right w:w="80" w:type="dxa"/>
            </w:tcMar>
          </w:tcPr>
          <w:p w14:paraId="51E71583" w14:textId="77777777" w:rsidR="00A214F7" w:rsidRDefault="00000000">
            <w:r>
              <w:rPr>
                <w:sz w:val="20"/>
                <w:szCs w:val="20"/>
              </w:rPr>
              <w:t>Younger-child income-tested subsidy ended March 31, 2025; eligible full-time kindergarten to Grade 6 out-of-school subsidy remains</w:t>
            </w:r>
          </w:p>
        </w:tc>
        <w:tc>
          <w:tcPr>
            <w:tcW w:w="3480" w:type="dxa"/>
            <w:tcBorders>
              <w:top w:val="nil"/>
              <w:left w:val="nil"/>
              <w:bottom w:val="nil"/>
              <w:right w:val="nil"/>
            </w:tcBorders>
            <w:tcMar>
              <w:top w:w="60" w:type="dxa"/>
              <w:left w:w="80" w:type="dxa"/>
              <w:bottom w:w="60" w:type="dxa"/>
              <w:right w:w="80" w:type="dxa"/>
            </w:tcMar>
          </w:tcPr>
          <w:p w14:paraId="29311131" w14:textId="77777777" w:rsidR="00A214F7" w:rsidRDefault="00000000">
            <w:r>
              <w:rPr>
                <w:sz w:val="20"/>
                <w:szCs w:val="20"/>
              </w:rPr>
              <w:t>Income-tested fee subsidy retained and can lower fees below the cap</w:t>
            </w:r>
          </w:p>
        </w:tc>
      </w:tr>
      <w:tr w:rsidR="00A214F7" w14:paraId="658CDADF" w14:textId="77777777">
        <w:trPr>
          <w:cantSplit/>
        </w:trPr>
        <w:tc>
          <w:tcPr>
            <w:tcW w:w="2400" w:type="dxa"/>
            <w:tcBorders>
              <w:top w:val="nil"/>
              <w:left w:val="nil"/>
              <w:bottom w:val="nil"/>
              <w:right w:val="nil"/>
            </w:tcBorders>
            <w:tcMar>
              <w:top w:w="60" w:type="dxa"/>
              <w:left w:w="80" w:type="dxa"/>
              <w:bottom w:w="60" w:type="dxa"/>
              <w:right w:w="80" w:type="dxa"/>
            </w:tcMar>
          </w:tcPr>
          <w:p w14:paraId="2E3109A5" w14:textId="77777777" w:rsidR="00A214F7" w:rsidRDefault="00000000">
            <w:r>
              <w:rPr>
                <w:sz w:val="20"/>
                <w:szCs w:val="20"/>
              </w:rPr>
              <w:t>Other parent charges</w:t>
            </w:r>
          </w:p>
        </w:tc>
        <w:tc>
          <w:tcPr>
            <w:tcW w:w="3480" w:type="dxa"/>
            <w:tcBorders>
              <w:top w:val="nil"/>
              <w:left w:val="nil"/>
              <w:bottom w:val="nil"/>
              <w:right w:val="nil"/>
            </w:tcBorders>
            <w:tcMar>
              <w:top w:w="60" w:type="dxa"/>
              <w:left w:w="80" w:type="dxa"/>
              <w:bottom w:w="60" w:type="dxa"/>
              <w:right w:w="80" w:type="dxa"/>
            </w:tcMar>
          </w:tcPr>
          <w:p w14:paraId="2A4BBB56" w14:textId="77777777" w:rsidR="00A214F7" w:rsidRDefault="00000000">
            <w:r>
              <w:rPr>
                <w:sz w:val="20"/>
                <w:szCs w:val="20"/>
              </w:rPr>
              <w:t>Optional services allowed for a supplemental fee if participation is voluntary</w:t>
            </w:r>
          </w:p>
        </w:tc>
        <w:tc>
          <w:tcPr>
            <w:tcW w:w="3480" w:type="dxa"/>
            <w:tcBorders>
              <w:top w:val="nil"/>
              <w:left w:val="nil"/>
              <w:bottom w:val="nil"/>
              <w:right w:val="nil"/>
            </w:tcBorders>
            <w:tcMar>
              <w:top w:w="60" w:type="dxa"/>
              <w:left w:w="80" w:type="dxa"/>
              <w:bottom w:w="60" w:type="dxa"/>
              <w:right w:w="80" w:type="dxa"/>
            </w:tcMar>
          </w:tcPr>
          <w:p w14:paraId="365E9527" w14:textId="77777777" w:rsidR="00A214F7" w:rsidRDefault="00000000">
            <w:r>
              <w:rPr>
                <w:sz w:val="20"/>
                <w:szCs w:val="20"/>
              </w:rPr>
              <w:t>Fee capped for enrolled programs; families outside CWELCC spaces pay market fees</w:t>
            </w:r>
          </w:p>
        </w:tc>
      </w:tr>
      <w:tr w:rsidR="00A214F7" w14:paraId="7A6AB712" w14:textId="77777777">
        <w:trPr>
          <w:cantSplit/>
        </w:trPr>
        <w:tc>
          <w:tcPr>
            <w:tcW w:w="2400" w:type="dxa"/>
            <w:tcBorders>
              <w:top w:val="nil"/>
              <w:left w:val="nil"/>
              <w:bottom w:val="single" w:sz="6" w:space="0" w:color="000000"/>
              <w:right w:val="nil"/>
            </w:tcBorders>
            <w:tcMar>
              <w:top w:w="60" w:type="dxa"/>
              <w:left w:w="80" w:type="dxa"/>
              <w:bottom w:w="60" w:type="dxa"/>
              <w:right w:w="80" w:type="dxa"/>
            </w:tcMar>
          </w:tcPr>
          <w:p w14:paraId="67B597D1" w14:textId="77777777" w:rsidR="00A214F7" w:rsidRDefault="00000000">
            <w:r>
              <w:rPr>
                <w:sz w:val="20"/>
                <w:szCs w:val="20"/>
              </w:rPr>
              <w:t>Federal agreement status</w:t>
            </w:r>
          </w:p>
        </w:tc>
        <w:tc>
          <w:tcPr>
            <w:tcW w:w="3480" w:type="dxa"/>
            <w:tcBorders>
              <w:top w:val="nil"/>
              <w:left w:val="nil"/>
              <w:bottom w:val="single" w:sz="6" w:space="0" w:color="000000"/>
              <w:right w:val="nil"/>
            </w:tcBorders>
            <w:tcMar>
              <w:top w:w="60" w:type="dxa"/>
              <w:left w:w="80" w:type="dxa"/>
              <w:bottom w:w="60" w:type="dxa"/>
              <w:right w:w="80" w:type="dxa"/>
            </w:tcMar>
          </w:tcPr>
          <w:p w14:paraId="3C8E21F7" w14:textId="77777777" w:rsidR="00A214F7" w:rsidRDefault="00000000">
            <w:r>
              <w:rPr>
                <w:sz w:val="20"/>
                <w:szCs w:val="20"/>
              </w:rPr>
              <w:t>One-year extension to March 31, 2027</w:t>
            </w:r>
          </w:p>
        </w:tc>
        <w:tc>
          <w:tcPr>
            <w:tcW w:w="3480" w:type="dxa"/>
            <w:tcBorders>
              <w:top w:val="nil"/>
              <w:left w:val="nil"/>
              <w:bottom w:val="single" w:sz="6" w:space="0" w:color="000000"/>
              <w:right w:val="nil"/>
            </w:tcBorders>
            <w:tcMar>
              <w:top w:w="60" w:type="dxa"/>
              <w:left w:w="80" w:type="dxa"/>
              <w:bottom w:w="60" w:type="dxa"/>
              <w:right w:w="80" w:type="dxa"/>
            </w:tcMar>
          </w:tcPr>
          <w:p w14:paraId="33B9CFEE" w14:textId="77777777" w:rsidR="00A214F7" w:rsidRDefault="00000000">
            <w:r>
              <w:rPr>
                <w:sz w:val="20"/>
                <w:szCs w:val="20"/>
              </w:rPr>
              <w:t>Four-year agreement signed September 2026; fees held to June 30, 2027</w:t>
            </w:r>
          </w:p>
        </w:tc>
      </w:tr>
    </w:tbl>
    <w:p w14:paraId="6AFE3708" w14:textId="77777777" w:rsidR="00A214F7" w:rsidRDefault="00000000">
      <w:pPr>
        <w:spacing w:line="480" w:lineRule="auto"/>
      </w:pPr>
      <w:r>
        <w:rPr>
          <w:i/>
          <w:iCs/>
          <w:sz w:val="20"/>
          <w:szCs w:val="20"/>
        </w:rPr>
        <w:t>Note.</w:t>
      </w:r>
      <w:r>
        <w:rPr>
          <w:sz w:val="20"/>
          <w:szCs w:val="20"/>
        </w:rPr>
        <w:t xml:space="preserve"> Compiled from Government of Alberta (2026a, 2026b), Government of Ontario (n.d.), Office of the Auditor General of Ontario (2025), ESDC (2025a, 2025b), and The Canadian Press (2026).</w:t>
      </w:r>
    </w:p>
    <w:p w14:paraId="359213BC" w14:textId="77777777" w:rsidR="00A214F7" w:rsidRDefault="00000000">
      <w:pPr>
        <w:spacing w:line="480" w:lineRule="auto"/>
        <w:jc w:val="center"/>
      </w:pPr>
      <w:r>
        <w:rPr>
          <w:b/>
          <w:bCs/>
        </w:rPr>
        <w:t>Similarities</w:t>
      </w:r>
    </w:p>
    <w:p w14:paraId="400BE771" w14:textId="77777777" w:rsidR="00A214F7" w:rsidRDefault="00000000">
      <w:pPr>
        <w:spacing w:line="480" w:lineRule="auto"/>
        <w:ind w:firstLine="720"/>
      </w:pPr>
      <w:r>
        <w:t xml:space="preserve">The clearest similarity is structural. In both provinces, public operating funding has replaced much of what parents used to pay, and both have moved away from provider-by-provider </w:t>
      </w:r>
      <w:r>
        <w:lastRenderedPageBreak/>
        <w:t>market fees toward regulated eligible fees (Macdonald &amp; Friendly, 2026). Eligible funded full-time daycare and family day home care has a $326.25 monthly base fee in Alberta, while eligible Ontario CWELCC fees are capped at $22 per day. These standard full-time rates remain above $10 a day.</w:t>
      </w:r>
    </w:p>
    <w:p w14:paraId="23BAB338" w14:textId="77777777" w:rsidR="00A214F7" w:rsidRDefault="00000000">
      <w:pPr>
        <w:spacing w:line="480" w:lineRule="auto"/>
        <w:ind w:firstLine="720"/>
      </w:pPr>
      <w:r>
        <w:t xml:space="preserve">Both provinces have also made room for commercial operators. Dhuey (2024) notes that Alberta and Ontario each eased the path for for-profit providers to receive public funds, even though non-profit centres tend to deliver higher quality and greater stability (Cleveland &amp; Krashinsky, 2009). Finally, both governments justify spending in labour-market terms; the federal announcement of Alberta’s extension presented affordable child care as an “economic tool” (ESDC, 2025a). Prentice (2009) describes this as the economic reframing of child care, in which children become investments and care becomes a lever for productivity. Stronach’s (2023) critical discourse analysis links neoliberal governance to educators’ marginalization, including wages and working conditions. Market logic also shapes access. In our Week 2 terms, financing is a system-level lever, but admission happens at the program level, where operators in a mixed market still choose where to open and whom to admit from their waitlists. A capped fee lowers the price without steering spaces toward the families with the greatest need.</w:t>
      </w:r>
    </w:p>
    <w:p w14:paraId="4C7A24AA" w14:textId="77777777" w:rsidR="00A214F7" w:rsidRDefault="00000000">
      <w:pPr>
        <w:spacing w:line="480" w:lineRule="auto"/>
        <w:jc w:val="center"/>
      </w:pPr>
      <w:r>
        <w:rPr>
          <w:b/>
          <w:bCs/>
        </w:rPr>
        <w:t>Differences</w:t>
      </w:r>
    </w:p>
    <w:p w14:paraId="04DD65E1" w14:textId="77777777" w:rsidR="00A214F7" w:rsidRDefault="00000000">
      <w:pPr>
        <w:spacing w:line="480" w:lineRule="auto"/>
        <w:ind w:firstLine="720"/>
      </w:pPr>
      <w:r>
        <w:t xml:space="preserve">The provinces differ most on who carries the remaining cost. Alberta’s $326.25 monthly base fee is not income-tested, and the income-tested subsidy for children up to kindergarten age ended on March 31, 2025 (Government of Alberta, 2026b). What remains covers only full-time kindergarten to Grade 6 out-of-school care for families earning under $90,000. Child Care Now (2025) supported the simpler fee but warned that the lowest-income families would pay more, and some Alberta parents faced monthly increases of hundreds of dollars (CBC News, 2025b).</w:t>
      </w:r>
    </w:p>
    <w:p w14:paraId="3C9A0D3B" w14:textId="77777777" w:rsidR="00A214F7" w:rsidRDefault="00000000">
      <w:pPr>
        <w:spacing w:line="480" w:lineRule="auto"/>
        <w:ind w:firstLine="720"/>
      </w:pPr>
      <w:r>
        <w:t xml:space="preserve">Ontario retained its income-tested subsidy alongside the $22 cap, but subsidy eligibility does not guarantee a space. Ontario’s Auditor General reported about 51,300 children under six receiving full or partial fee subsidies in 2023, 31% fewer than in 2019 (Office of the Auditor General of Ontario, 2025, p. 22). The figure does not isolate CWELCC as the cause, and subsidy-recipient counts do not measure all low-income participation. Pavolini and Van Lancker (2018) describe a possible Matthew effect: when supply is rationed, families with more resources may capture more of a universal benefit. Dhuey (2024) identifies work or study conditions as another possible barrier. These data do not establish whether the Matthew effect or administrative burden caused the decline.</w:t>
      </w:r>
    </w:p>
    <w:p w14:paraId="7CFA5584" w14:textId="77777777" w:rsidR="00A214F7" w:rsidRDefault="00000000">
      <w:pPr>
        <w:spacing w:line="480" w:lineRule="auto"/>
        <w:ind w:firstLine="720"/>
      </w:pPr>
      <w:r>
        <w:t xml:space="preserve">These two sets of evidence answer different questions. Fee surveys measure the posted price at the door, while the Auditor General measured who is </w:t>
      </w:r>
      <w:proofErr w:type="gramStart"/>
      <w:r>
        <w:t>actually enrolled</w:t>
      </w:r>
      <w:proofErr w:type="gramEnd"/>
      <w:r>
        <w:t xml:space="preserve">, and a province can succeed on the first while failing on the second. For this reason, I separate three ideas that policy talk often </w:t>
      </w:r>
      <w:proofErr w:type="spellStart"/>
      <w:proofErr w:type="gramStart"/>
      <w:r>
        <w:t xml:space="preserve">merges: affordability</w:t>
      </w:r>
      <w:proofErr w:type="spellEnd"/>
      <w:proofErr w:type="gramEnd"/>
      <w:r>
        <w:t xml:space="preserve"> (the fee burden relative to family resources), accessibility (whether a space exists nearby), and equitable participation (whether the families who most need care actually use it</w:t>
      </w:r>
      <w:proofErr w:type="gramStart"/>
      <w:r>
        <w:t xml:space="preserve">). Both</w:t>
      </w:r>
      <w:proofErr w:type="gramEnd"/>
      <w:r>
        <w:t xml:space="preserve"> provinces reduced eligible fees; the evidence reviewed here does not establish province-wide gains in equitable participation. Week 3’s discussion of colonialism and ECEC raises a further question: whether financing supports culturally appropriate provision for Indigenous families (Kim, 2026, slides 23–25). Call to Action 12 urges such programs; income measures cannot establish cultural appropriateness (Truth and Reconciliation Commission of </w:t>
      </w:r>
      <w:r>
        <w:lastRenderedPageBreak/>
        <w:t>Canada, 2015). The co-developed Indigenous ELCC Framework distinguishes First Nations, Inuit and Métis pathways; this provincial fee comparison cannot assess their governance, funding or outcomes (ESDC, 2018).</w:t>
      </w:r>
    </w:p>
    <w:p w14:paraId="2AAF94ED" w14:textId="77777777" w:rsidR="00A214F7" w:rsidRDefault="00000000">
      <w:pPr>
        <w:spacing w:line="480" w:lineRule="auto"/>
        <w:ind w:firstLine="720"/>
      </w:pPr>
      <w:r>
        <w:t xml:space="preserve">The provinces also differ in administrative design. Alberta funds participating providers and standardizes eligible daycare and family day home base fees by attendance band. Ontario families seeking an income-tested subsidy apply to a local manager, document income and meet eligibility rules. Research on administrative burden shows why this matters: in a French randomized trial, personalized assistance narrowed socioeconomic application gaps but had limited effects on access (Carbuccia et al., 2026). French admission rules limit transfer to Ontario: this suggests a possible mechanism, not a prediction. Alberta’s simple model has its own hidden costs, however, because providers may charge supplemental fees for optional services such as meals, transportation, or extended hours (Government of Alberta, 2026a), and advocates warned that operators with waitlists might favour families who can pay these extras (CBC News, 2025a).</w:t>
      </w:r>
    </w:p>
    <w:p w14:paraId="2CF11833" w14:textId="77777777" w:rsidR="00A214F7" w:rsidRDefault="00000000">
      <w:pPr>
        <w:spacing w:line="480" w:lineRule="auto"/>
        <w:jc w:val="center"/>
      </w:pPr>
      <w:r>
        <w:rPr>
          <w:b/>
          <w:bCs/>
        </w:rPr>
        <w:t xml:space="preserve">What Ontario Can Learn </w:t>
      </w:r>
      <w:proofErr w:type="gramStart"/>
      <w:r>
        <w:rPr>
          <w:b/>
          <w:bCs/>
        </w:rPr>
        <w:t>From</w:t>
      </w:r>
      <w:proofErr w:type="gramEnd"/>
      <w:r>
        <w:rPr>
          <w:b/>
          <w:bCs/>
        </w:rPr>
        <w:t xml:space="preserve"> Alberta</w:t>
      </w:r>
    </w:p>
    <w:p w14:paraId="383A16AC" w14:textId="77777777" w:rsidR="00A214F7" w:rsidRDefault="00000000">
      <w:pPr>
        <w:spacing w:line="480" w:lineRule="auto"/>
        <w:ind w:firstLine="720"/>
      </w:pPr>
      <w:r>
        <w:t xml:space="preserve">First, Ontario can learn from Alberta’s </w:t>
      </w:r>
      <w:proofErr w:type="spellStart"/>
      <w:proofErr w:type="gramStart"/>
      <w:r>
        <w:t xml:space="preserve">clarity. A</w:t>
      </w:r>
      <w:proofErr w:type="spellEnd"/>
      <w:proofErr w:type="gramEnd"/>
      <w:r>
        <w:t xml:space="preserve"> clear base fee helps eligible families plan, whereas a provincial average does not reveal a particular family’s bill or financial </w:t>
      </w:r>
      <w:proofErr w:type="spellStart"/>
      <w:proofErr w:type="gramStart"/>
      <w:r>
        <w:t xml:space="preserve">burden. Following</w:t>
      </w:r>
      <w:proofErr w:type="spellEnd"/>
      <w:proofErr w:type="gramEnd"/>
      <w:r>
        <w:t xml:space="preserve"> Macdonald and Friendly (2026), Ontario should present its commitment as a guaranteed maximum and report what families actually pay by income, not only the average.</w:t>
      </w:r>
    </w:p>
    <w:p w14:paraId="27849C87" w14:textId="77777777" w:rsidR="00A214F7" w:rsidRDefault="00000000">
      <w:pPr>
        <w:spacing w:line="480" w:lineRule="auto"/>
        <w:ind w:firstLine="720"/>
      </w:pPr>
      <w:r>
        <w:t xml:space="preserve">Second, Ontario should not copy Alberta’s subsidy cut. Alberta’s early evidence, drawn so far from advocacy and media reports rather than enrolment data, suggests that a universal fee </w:t>
      </w:r>
      <w:r>
        <w:lastRenderedPageBreak/>
        <w:t>without a low-income floor moves costs onto the families least able to carry them. In my view, Ontario’s better option is to reform its subsidy by removing work and study requirements and moving to a sliding scale that reaches $0 for the lowest-income families, as Ontario advocates have proposed (Ontario Coalition for Better Child Care [OCBCC], 2025).</w:t>
      </w:r>
    </w:p>
    <w:p w14:paraId="2575AAEE" w14:textId="77777777" w:rsidR="00A214F7" w:rsidRDefault="00000000">
      <w:pPr>
        <w:spacing w:line="480" w:lineRule="auto"/>
        <w:ind w:firstLine="720"/>
      </w:pPr>
      <w:r>
        <w:t xml:space="preserve">Third, Ontario must pair fee policy with supply and admission policy. The Auditor General’s enrolment data and Carbuccia et al.’s (2026) trial address different questions; together they suggest testing supply and admission policies alongside fee reductions and application support. Toronto offers a model. As the city’s service system manager, the City reviews home </w:t>
      </w:r>
      <w:proofErr w:type="gramStart"/>
      <w:r>
        <w:t>child care</w:t>
      </w:r>
      <w:proofErr w:type="gramEnd"/>
      <w:r>
        <w:t xml:space="preserve"> expansion against the Ministry’s Access and Inclusion </w:t>
      </w:r>
      <w:proofErr w:type="spellStart"/>
      <w:r>
        <w:t xml:space="preserve">Framework and</w:t>
      </w:r>
      <w:proofErr w:type="spellEnd"/>
      <w:r>
        <w:t xml:space="preserve"> lists not-for-profit, Francophone, Indigenous-led, and Black-led or Black-serving agencies as eligible, while also considering commercial agencies; its 2026 </w:t>
      </w:r>
      <w:proofErr w:type="spellStart"/>
      <w:r>
        <w:t>centre</w:t>
      </w:r>
      <w:proofErr w:type="spellEnd"/>
      <w:r>
        <w:t xml:space="preserve"> intake is closed while existing expansion </w:t>
      </w:r>
      <w:proofErr w:type="gramStart"/>
      <w:r>
        <w:t xml:space="preserve">continues (</w:t>
      </w:r>
      <w:proofErr w:type="gramEnd"/>
      <w:r>
        <w:t xml:space="preserve">City of Toronto, 2026). Ontario’s four-year agreement gives it time to extend this directed growth to </w:t>
      </w:r>
      <w:proofErr w:type="spellStart"/>
      <w:r>
        <w:t>centres</w:t>
      </w:r>
      <w:proofErr w:type="spellEnd"/>
      <w:r>
        <w:t xml:space="preserve"> and to give subsidized families admission priority. Alberta’s supplemental-fee rules also remind Ontario to write safeguards against preferential admission into its funding agreements from the start. Within its remit, Ontario could support Indigenous-led planning and culturally appropriate expansion with stable operating funding; Toronto’s home-care priority alone does not demonstrate improved access (City of Toronto, 2025, p. 3).</w:t>
      </w:r>
    </w:p>
    <w:p w14:paraId="2E2B35AB" w14:textId="77777777" w:rsidR="00A214F7" w:rsidRDefault="00000000">
      <w:pPr>
        <w:spacing w:line="480" w:lineRule="auto"/>
        <w:ind w:firstLine="720"/>
      </w:pPr>
      <w:r>
        <w:t>Finally, the Alberta sources reviewed here do not establish how the flat fee changed participation by family income. Ontario could lead by requiring every service system manager to report enrolment by family income.</w:t>
      </w:r>
    </w:p>
    <w:p w14:paraId="4AB6A65B" w14:textId="77777777" w:rsidR="00A214F7" w:rsidRDefault="00000000">
      <w:pPr>
        <w:spacing w:line="480" w:lineRule="auto"/>
        <w:jc w:val="center"/>
      </w:pPr>
      <w:r>
        <w:rPr>
          <w:b/>
          <w:bCs/>
        </w:rPr>
        <w:t>Conclusion</w:t>
      </w:r>
    </w:p>
    <w:p w14:paraId="5C18C49A" w14:textId="77777777" w:rsidR="00A214F7" w:rsidRDefault="00000000">
      <w:pPr>
        <w:spacing w:line="480" w:lineRule="auto"/>
        <w:ind w:firstLine="720"/>
      </w:pPr>
      <w:r>
        <w:t xml:space="preserve">Alberta and Ontario show that public financing can reduce eligible fees without ensuring equitable participation. Alberta offers fee clarity, while Ontario retains income-tested support; neither feature guarantees a suitable space. Ontario should retain targeted assistance, clarify charges, and connect operating funding with planned expansion and fair admission. Week 3’s focus on colonialism also raises the distinct need for culturally appropriate provision with Indigenous partners. Ontario’s image of children as competent and capable should matter in who can participate (Ontario Ministry of Education, 2014). CWELCC should be judged by participation alongside price, supply and quality, not the posted fee alone.</w:t>
      </w:r>
    </w:p>
    <w:p w14:paraId="3D3B3617" w14:textId="77777777" w:rsidR="00A214F7" w:rsidRDefault="00000000">
      <w:pPr>
        <w:pageBreakBefore/>
        <w:spacing w:line="480" w:lineRule="auto"/>
        <w:jc w:val="center"/>
      </w:pPr>
      <w:r>
        <w:rPr>
          <w:b/>
          <w:bCs/>
        </w:rPr>
        <w:lastRenderedPageBreak/>
        <w:t>References</w:t>
      </w:r>
    </w:p>
    <w:p w14:paraId="2396EAA5" w14:textId="77777777" w:rsidR="00A214F7" w:rsidRDefault="00000000">
      <w:pPr>
        <w:spacing w:line="480" w:lineRule="auto"/>
        <w:ind w:left="720" w:hanging="720"/>
      </w:pPr>
      <w:r>
        <w:t xml:space="preserve">The Canadian Press. (2026, September 29). Affordable child-care program extended in Ontario, but not to $10 a day. </w:t>
      </w:r>
      <w:r>
        <w:rPr>
          <w:i/>
          <w:iCs/>
        </w:rPr>
        <w:t>CP24</w:t>
      </w:r>
      <w:r>
        <w:t>. https://www.cp24.com/politics/queens-park/2026/09/29/affordable-child-care-program-extended-in-ontario-but-not-to-10-a-day/</w:t>
      </w:r>
    </w:p>
    <w:p w14:paraId="6FB4910F" w14:textId="77777777" w:rsidR="00A214F7" w:rsidRDefault="00000000">
      <w:pPr>
        <w:spacing w:line="480" w:lineRule="auto"/>
        <w:ind w:left="720" w:hanging="720"/>
      </w:pPr>
      <w:r>
        <w:t xml:space="preserve">Carbuccia, L., Heim, A., Barone, C., &amp; Chevallier, C. (2026). A randomized controlled trial on the effect of administrative burden and information costs on social inequalities in early childcare access in France. Nature Human </w:t>
      </w:r>
      <w:proofErr w:type="spellStart"/>
      <w:r>
        <w:t>Behaviour</w:t>
      </w:r>
      <w:proofErr w:type="spellEnd"/>
      <w:r>
        <w:t>, 10, 64–</w:t>
      </w:r>
      <w:proofErr w:type="gramStart"/>
      <w:r>
        <w:t xml:space="preserve">79. https://doi.org/10.1038/s41562-025-02293-4</w:t>
      </w:r>
      <w:proofErr w:type="gramEnd"/>
    </w:p>
    <w:p w14:paraId="7D2DD379" w14:textId="77777777" w:rsidR="00A214F7" w:rsidRDefault="00000000">
      <w:pPr>
        <w:spacing w:line="480" w:lineRule="auto"/>
        <w:ind w:left="720" w:hanging="720"/>
      </w:pPr>
      <w:r>
        <w:t xml:space="preserve">CBC News. (2025a, January 30). </w:t>
      </w:r>
      <w:r>
        <w:rPr>
          <w:i/>
          <w:iCs/>
        </w:rPr>
        <w:t>Alberta rolling out new child-care funding formula to make $15 per day the flat rate</w:t>
      </w:r>
      <w:r>
        <w:t>. https://www.cbc.ca/1.7446186</w:t>
      </w:r>
    </w:p>
    <w:p w14:paraId="6216BFDE" w14:textId="77777777" w:rsidR="00A214F7" w:rsidRDefault="00000000">
      <w:pPr>
        <w:spacing w:line="480" w:lineRule="auto"/>
        <w:ind w:left="720" w:hanging="720"/>
      </w:pPr>
      <w:r>
        <w:t xml:space="preserve">CBC News. (2025b, January 31). </w:t>
      </w:r>
      <w:r>
        <w:rPr>
          <w:i/>
          <w:iCs/>
        </w:rPr>
        <w:t>Families reeling after Alberta ends child-care subsidy</w:t>
      </w:r>
      <w:r>
        <w:t>. https://www.cbc.ca/lite/story/1.7447808</w:t>
      </w:r>
    </w:p>
    <w:p w14:paraId="1DCB8BAE" w14:textId="77777777" w:rsidR="00A214F7" w:rsidRDefault="00000000">
      <w:pPr>
        <w:spacing w:line="480" w:lineRule="auto"/>
        <w:ind w:left="720" w:hanging="720"/>
      </w:pPr>
      <w:r>
        <w:t>Child Care and Early Years Act, 2014, S.O. 2014, c. 11, Sched. 1. https://www.ontario.ca/laws/statute/14c11</w:t>
      </w:r>
    </w:p>
    <w:p w14:paraId="24BA587F" w14:textId="77777777" w:rsidR="00A214F7" w:rsidRDefault="00000000">
      <w:pPr>
        <w:spacing w:line="480" w:lineRule="auto"/>
        <w:ind w:left="720" w:hanging="720"/>
      </w:pPr>
      <w:r>
        <w:t xml:space="preserve">Child Care Now. (2025, February). </w:t>
      </w:r>
      <w:r>
        <w:rPr>
          <w:i/>
          <w:iCs/>
        </w:rPr>
        <w:t xml:space="preserve">Backgrounder: Alberta’s $15-a-day </w:t>
      </w:r>
      <w:proofErr w:type="gramStart"/>
      <w:r>
        <w:rPr>
          <w:i/>
          <w:iCs/>
        </w:rPr>
        <w:t>child care</w:t>
      </w:r>
      <w:proofErr w:type="gramEnd"/>
      <w:r>
        <w:rPr>
          <w:i/>
          <w:iCs/>
        </w:rPr>
        <w:t xml:space="preserve"> program</w:t>
      </w:r>
      <w:r>
        <w:t>. https://childcarenow.ca/</w:t>
      </w:r>
    </w:p>
    <w:p w14:paraId="1BE1C227" w14:textId="77777777" w:rsidR="00A214F7" w:rsidRDefault="00000000">
      <w:pPr>
        <w:spacing w:line="480" w:lineRule="auto"/>
        <w:ind w:left="720" w:hanging="720"/>
      </w:pPr>
      <w:r>
        <w:t xml:space="preserve">City of Toronto. (2025, July). Canada-wide Early Learning and Child Care (CWELCC) enrollment guide – Home </w:t>
      </w:r>
      <w:proofErr w:type="gramStart"/>
      <w:r>
        <w:t>child care</w:t>
      </w:r>
      <w:proofErr w:type="gramEnd"/>
      <w:r>
        <w:t>. https://www.toronto.ca/wp-content/uploads/2025/07/96a3-tcs-cwelcc-expansion-guide-hcc.pdf</w:t>
      </w:r>
    </w:p>
    <w:p w14:paraId="3EE2069E" w14:textId="77777777" w:rsidR="00A214F7" w:rsidRDefault="00000000">
      <w:pPr>
        <w:spacing w:line="480" w:lineRule="auto"/>
        <w:ind w:left="720" w:hanging="720"/>
      </w:pPr>
      <w:r>
        <w:t xml:space="preserve">City of Toronto. (2026, June 24). </w:t>
      </w:r>
      <w:r>
        <w:rPr>
          <w:i/>
          <w:iCs/>
        </w:rPr>
        <w:t>Canada-Wide Early Learning &amp; Child Care (CWELCC) system</w:t>
      </w:r>
      <w:r>
        <w:t>. https://www.toronto.ca/community-people/community-partners/early-learning-child-care-partners/canada-wide-early-learning-child-care-agreement-cwelcc/</w:t>
      </w:r>
    </w:p>
    <w:p w14:paraId="0024BAF0" w14:textId="77777777" w:rsidR="00A214F7" w:rsidRDefault="00000000">
      <w:pPr>
        <w:spacing w:line="480" w:lineRule="auto"/>
        <w:ind w:left="720" w:hanging="720"/>
      </w:pPr>
      <w:r>
        <w:t xml:space="preserve">Cleveland, G., &amp; </w:t>
      </w:r>
      <w:proofErr w:type="spellStart"/>
      <w:r>
        <w:t>Krashinsky</w:t>
      </w:r>
      <w:proofErr w:type="spellEnd"/>
      <w:r>
        <w:t xml:space="preserve">, M. (2009). The nonprofit advantage: Producing quality in thick and </w:t>
      </w:r>
      <w:r>
        <w:lastRenderedPageBreak/>
        <w:t xml:space="preserve">thin </w:t>
      </w:r>
      <w:proofErr w:type="gramStart"/>
      <w:r>
        <w:t>child care</w:t>
      </w:r>
      <w:proofErr w:type="gramEnd"/>
      <w:r>
        <w:t xml:space="preserve"> markets. </w:t>
      </w:r>
      <w:r>
        <w:rPr>
          <w:i/>
          <w:iCs/>
        </w:rPr>
        <w:t>Journal of Policy Analysis and Management, 28</w:t>
      </w:r>
      <w:r>
        <w:t>(3), 440–462. https://doi.org/10.1002/pam.20440</w:t>
      </w:r>
    </w:p>
    <w:p w14:paraId="1C242D01" w14:textId="77777777" w:rsidR="00A214F7" w:rsidRDefault="00000000">
      <w:pPr>
        <w:spacing w:line="480" w:lineRule="auto"/>
        <w:ind w:left="720" w:hanging="720"/>
      </w:pPr>
      <w:proofErr w:type="spellStart"/>
      <w:r>
        <w:t>Dhuey</w:t>
      </w:r>
      <w:proofErr w:type="spellEnd"/>
      <w:r>
        <w:t xml:space="preserve">, E. (2024). Will the increased investment in early childhood education and care in Canada pay off? It depends! </w:t>
      </w:r>
      <w:r>
        <w:rPr>
          <w:i/>
          <w:iCs/>
        </w:rPr>
        <w:t>Canadian Public Policy, 50</w:t>
      </w:r>
      <w:r>
        <w:t>(S1), 103–126. https://doi.org/10.3138/cpp.2023-061</w:t>
      </w:r>
    </w:p>
    <w:p w14:paraId="32DF5276" w14:textId="77777777" w:rsidR="00A214F7" w:rsidRDefault="00000000">
      <w:pPr>
        <w:spacing w:line="480" w:lineRule="auto"/>
        <w:ind w:left="720" w:hanging="720"/>
      </w:pPr>
      <w:r>
        <w:t xml:space="preserve">Employment and Social Development Canada. (2018). Indigenous early learning and </w:t>
      </w:r>
      <w:proofErr w:type="gramStart"/>
      <w:r>
        <w:t>child care</w:t>
      </w:r>
      <w:proofErr w:type="gramEnd"/>
      <w:r>
        <w:t xml:space="preserve"> framework. https://www.canada.ca/en/employment-social-development/programs/indigenous-early-learning/2018-framework.html</w:t>
      </w:r>
    </w:p>
    <w:p w14:paraId="3C6B4B97" w14:textId="77777777" w:rsidR="00A214F7" w:rsidRDefault="00000000">
      <w:pPr>
        <w:spacing w:line="480" w:lineRule="auto"/>
        <w:ind w:left="720" w:hanging="720"/>
      </w:pPr>
      <w:r>
        <w:t xml:space="preserve">Employment and Social Development Canada. (2025a, December 12). </w:t>
      </w:r>
      <w:r>
        <w:rPr>
          <w:i/>
          <w:iCs/>
        </w:rPr>
        <w:t xml:space="preserve">Canada and Alberta agree to one-year extension of early learning and </w:t>
      </w:r>
      <w:proofErr w:type="gramStart"/>
      <w:r>
        <w:rPr>
          <w:i/>
          <w:iCs/>
        </w:rPr>
        <w:t>child care</w:t>
      </w:r>
      <w:proofErr w:type="gramEnd"/>
      <w:r>
        <w:rPr>
          <w:i/>
          <w:iCs/>
        </w:rPr>
        <w:t xml:space="preserve"> agreements</w:t>
      </w:r>
      <w:r>
        <w:t xml:space="preserve"> [News release]. https://www.canada.ca/en/employment-social-development/news/2025/12/canada-and-alberta-agree-to-one-year-extension-of-early-learning-and-child-care-agreements.html</w:t>
      </w:r>
    </w:p>
    <w:p w14:paraId="7B3FA7B5" w14:textId="77777777" w:rsidR="00A214F7" w:rsidRDefault="00000000">
      <w:pPr>
        <w:spacing w:line="480" w:lineRule="auto"/>
        <w:ind w:left="720" w:hanging="720"/>
      </w:pPr>
      <w:r>
        <w:t xml:space="preserve">Employment and Social Development Canada. (2025b, December 4). Canada and Ontario agree to one-year extension of the Canada-wide early learning and </w:t>
      </w:r>
      <w:proofErr w:type="gramStart"/>
      <w:r>
        <w:t>child care</w:t>
      </w:r>
      <w:proofErr w:type="gramEnd"/>
      <w:r>
        <w:t xml:space="preserve"> agreement [News release]. https://www.canada.ca/en/employment-social-development/news/2025/12/canada-and-ontario-agree-to-one-year-extension-of-the-canada-wide-early-learning-and-child-care-agreement.html</w:t>
      </w:r>
    </w:p>
    <w:p w14:paraId="5411D260" w14:textId="77777777" w:rsidR="00A214F7" w:rsidRDefault="00000000">
      <w:pPr>
        <w:spacing w:line="480" w:lineRule="auto"/>
        <w:ind w:left="720" w:hanging="720"/>
      </w:pPr>
      <w:r>
        <w:t xml:space="preserve">Government of Alberta. (2026a). </w:t>
      </w:r>
      <w:r>
        <w:rPr>
          <w:i/>
          <w:iCs/>
        </w:rPr>
        <w:t>Childcare fees</w:t>
      </w:r>
      <w:r>
        <w:t>. Retrieved October 12, 2026, from https://www.alberta.ca/childcare-fees</w:t>
      </w:r>
    </w:p>
    <w:p w14:paraId="4AC07DDF" w14:textId="77777777" w:rsidR="00A214F7" w:rsidRDefault="00000000">
      <w:pPr>
        <w:spacing w:line="480" w:lineRule="auto"/>
        <w:ind w:left="720" w:hanging="720"/>
      </w:pPr>
      <w:r>
        <w:t xml:space="preserve">Government of Alberta. (2026b). </w:t>
      </w:r>
      <w:r>
        <w:rPr>
          <w:i/>
          <w:iCs/>
        </w:rPr>
        <w:t>Child Care Subsidy Program</w:t>
      </w:r>
      <w:r>
        <w:t>. Retrieved October 12, 2026, from https://www.alberta.ca/child-care-subsidy-program</w:t>
      </w:r>
    </w:p>
    <w:p w14:paraId="55A9BB69" w14:textId="77777777" w:rsidR="00A214F7" w:rsidRDefault="00000000">
      <w:pPr>
        <w:spacing w:line="480" w:lineRule="auto"/>
        <w:ind w:left="720" w:hanging="720"/>
      </w:pPr>
      <w:r>
        <w:t xml:space="preserve">Government of Ontario. (n.d.). </w:t>
      </w:r>
      <w:r>
        <w:rPr>
          <w:i/>
          <w:iCs/>
        </w:rPr>
        <w:t xml:space="preserve">Canada-Ontario early learning and </w:t>
      </w:r>
      <w:proofErr w:type="gramStart"/>
      <w:r>
        <w:rPr>
          <w:i/>
          <w:iCs/>
        </w:rPr>
        <w:t>child care</w:t>
      </w:r>
      <w:proofErr w:type="gramEnd"/>
      <w:r>
        <w:rPr>
          <w:i/>
          <w:iCs/>
        </w:rPr>
        <w:t xml:space="preserve"> agreement</w:t>
      </w:r>
      <w:r>
        <w:t>. Retrieved October 12, 2026, from https://www.ontario.ca/page/canada-ontario-early-</w:t>
      </w:r>
      <w:r>
        <w:lastRenderedPageBreak/>
        <w:t>years-and-child-care-agreement</w:t>
      </w:r>
    </w:p>
    <w:p w14:paraId="6B879E75" w14:textId="77777777" w:rsidR="00A214F7" w:rsidRDefault="00000000">
      <w:pPr>
        <w:spacing w:line="480" w:lineRule="auto"/>
        <w:ind w:left="720" w:hanging="720"/>
      </w:pPr>
      <w:r>
        <w:t>Kim, C. C. (2026). Early childhood programs &amp; systems delivery: Week 3 [Lecture slides]. George Brown Polytechnic.</w:t>
      </w:r>
    </w:p>
    <w:p w14:paraId="4CD6DD3F" w14:textId="77777777" w:rsidR="00A214F7" w:rsidRDefault="00000000">
      <w:pPr>
        <w:spacing w:line="480" w:lineRule="auto"/>
        <w:ind w:left="720" w:hanging="720"/>
      </w:pPr>
      <w:r>
        <w:t xml:space="preserve">Langford, T. (2011). </w:t>
      </w:r>
      <w:r>
        <w:rPr>
          <w:i/>
          <w:iCs/>
        </w:rPr>
        <w:t>Alberta’s day care controversy: From 1908 to 2009 and beyond</w:t>
      </w:r>
      <w:r>
        <w:t>. Athabasca University Press.</w:t>
      </w:r>
    </w:p>
    <w:p w14:paraId="69F2A58E" w14:textId="77777777" w:rsidR="00A214F7" w:rsidRDefault="00000000">
      <w:pPr>
        <w:spacing w:line="480" w:lineRule="auto"/>
        <w:ind w:left="720" w:hanging="720"/>
      </w:pPr>
      <w:r>
        <w:t xml:space="preserve">Macdonald, D., &amp; Friendly, M. (2026). </w:t>
      </w:r>
      <w:r>
        <w:rPr>
          <w:i/>
          <w:iCs/>
        </w:rPr>
        <w:t xml:space="preserve">The $10-a-day divide: </w:t>
      </w:r>
      <w:proofErr w:type="gramStart"/>
      <w:r>
        <w:rPr>
          <w:i/>
          <w:iCs/>
        </w:rPr>
        <w:t>Child care</w:t>
      </w:r>
      <w:proofErr w:type="gramEnd"/>
      <w:r>
        <w:rPr>
          <w:i/>
          <w:iCs/>
        </w:rPr>
        <w:t xml:space="preserve"> fees in Canada in 2026</w:t>
      </w:r>
      <w:r>
        <w:t>. Canadian Centre for Policy Alternatives. https://www.policyalternatives.ca/news-research/the-10-a-day-divide-child-care-fees-in-canada-in-2026/</w:t>
      </w:r>
    </w:p>
    <w:p w14:paraId="1CC63977" w14:textId="77777777" w:rsidR="00A214F7" w:rsidRDefault="00000000">
      <w:pPr>
        <w:spacing w:line="480" w:lineRule="auto"/>
        <w:ind w:left="720" w:hanging="720"/>
      </w:pPr>
      <w:r>
        <w:t xml:space="preserve">Makovichuk, L., Hewes, J., Lirette, P., &amp; Thomas, N. (2014). </w:t>
      </w:r>
      <w:r>
        <w:rPr>
          <w:i/>
          <w:iCs/>
        </w:rPr>
        <w:t>Flight: Alberta’s early learning and care framework</w:t>
      </w:r>
      <w:r>
        <w:t>. Government of Alberta. https://flightframework.ca</w:t>
      </w:r>
    </w:p>
    <w:p w14:paraId="7B974DE3" w14:textId="77777777" w:rsidR="00A214F7" w:rsidRDefault="00000000">
      <w:pPr>
        <w:spacing w:line="480" w:lineRule="auto"/>
        <w:ind w:left="720" w:hanging="720"/>
      </w:pPr>
      <w:r>
        <w:t xml:space="preserve">Office of the Auditor General of Ontario. (2025). </w:t>
      </w:r>
      <w:r>
        <w:rPr>
          <w:i/>
          <w:iCs/>
        </w:rPr>
        <w:t xml:space="preserve">Canada-wide early learning and </w:t>
      </w:r>
      <w:proofErr w:type="gramStart"/>
      <w:r>
        <w:rPr>
          <w:i/>
          <w:iCs/>
        </w:rPr>
        <w:t>child care</w:t>
      </w:r>
      <w:proofErr w:type="gramEnd"/>
      <w:r>
        <w:rPr>
          <w:i/>
          <w:iCs/>
        </w:rPr>
        <w:t xml:space="preserve"> program</w:t>
      </w:r>
      <w:r>
        <w:t xml:space="preserve"> [Special report]. https://auditor.on.ca/en/content/specialreports/specialreports/en25/AR-PA_CELandCCP_en25.pdf</w:t>
      </w:r>
    </w:p>
    <w:p w14:paraId="7693FE7D" w14:textId="77777777" w:rsidR="00A214F7" w:rsidRDefault="00000000">
      <w:pPr>
        <w:spacing w:line="480" w:lineRule="auto"/>
        <w:ind w:left="720" w:hanging="720"/>
      </w:pPr>
      <w:r>
        <w:t xml:space="preserve">Ontario Coalition for Better Child Care. (2025, October 1). </w:t>
      </w:r>
      <w:r>
        <w:rPr>
          <w:i/>
          <w:iCs/>
        </w:rPr>
        <w:t xml:space="preserve">Parents and educators urge Ford to sign new federal </w:t>
      </w:r>
      <w:proofErr w:type="gramStart"/>
      <w:r>
        <w:rPr>
          <w:i/>
          <w:iCs/>
        </w:rPr>
        <w:t>child care</w:t>
      </w:r>
      <w:proofErr w:type="gramEnd"/>
      <w:r>
        <w:rPr>
          <w:i/>
          <w:iCs/>
        </w:rPr>
        <w:t xml:space="preserve"> agreement, </w:t>
      </w:r>
      <w:proofErr w:type="gramStart"/>
      <w:r>
        <w:rPr>
          <w:i/>
          <w:iCs/>
        </w:rPr>
        <w:t>in light of</w:t>
      </w:r>
      <w:proofErr w:type="gramEnd"/>
      <w:r>
        <w:rPr>
          <w:i/>
          <w:iCs/>
        </w:rPr>
        <w:t xml:space="preserve"> Auditor-General’s report</w:t>
      </w:r>
      <w:r>
        <w:t xml:space="preserve"> [Press release]. Business Wire. https://www.businesswire.com/news/home/20251001263986/en</w:t>
      </w:r>
    </w:p>
    <w:p w14:paraId="2696F95F" w14:textId="77777777" w:rsidR="00A214F7" w:rsidRDefault="00000000">
      <w:pPr>
        <w:spacing w:line="480" w:lineRule="auto"/>
        <w:ind w:left="720" w:hanging="720"/>
      </w:pPr>
      <w:r>
        <w:t xml:space="preserve">Ontario Ministry of Education. (2014). </w:t>
      </w:r>
      <w:r>
        <w:rPr>
          <w:i/>
          <w:iCs/>
        </w:rPr>
        <w:t>How does learning happen? Ontario’s pedagogy for the early years</w:t>
      </w:r>
      <w:r>
        <w:t>. Queen’s Printer for Ontario.</w:t>
      </w:r>
    </w:p>
    <w:p w14:paraId="08E98403" w14:textId="77777777" w:rsidR="00A214F7" w:rsidRDefault="00000000">
      <w:pPr>
        <w:spacing w:line="480" w:lineRule="auto"/>
        <w:ind w:left="720" w:hanging="720"/>
      </w:pPr>
      <w:r>
        <w:t xml:space="preserve">Pavolini, E., &amp; Van Lancker, W. (2018). The Matthew effect in childcare use: A matter of policies or preferences? </w:t>
      </w:r>
      <w:r>
        <w:rPr>
          <w:i/>
          <w:iCs/>
        </w:rPr>
        <w:t>Journal of European Public Policy, 25</w:t>
      </w:r>
      <w:r>
        <w:t>(6), 878–893. https://doi.org/10.1080/13501763.2017.1401108</w:t>
      </w:r>
    </w:p>
    <w:p w14:paraId="017A1A0C" w14:textId="77777777" w:rsidR="00A214F7" w:rsidRDefault="00000000">
      <w:pPr>
        <w:spacing w:line="480" w:lineRule="auto"/>
        <w:ind w:left="720" w:hanging="720"/>
      </w:pPr>
      <w:r>
        <w:t xml:space="preserve">Prentice, S. (2009). High stakes: The “investable” child and the economic reframing of childcare. </w:t>
      </w:r>
      <w:r>
        <w:rPr>
          <w:i/>
          <w:iCs/>
        </w:rPr>
        <w:lastRenderedPageBreak/>
        <w:t>Signs: Journal of Women in Culture and Society, 34</w:t>
      </w:r>
      <w:r>
        <w:t>(3), 687–710. https://doi.org/10.1086/593711</w:t>
      </w:r>
    </w:p>
    <w:p w14:paraId="4445DF41" w14:textId="77777777" w:rsidR="00A214F7" w:rsidRDefault="00000000">
      <w:pPr>
        <w:spacing w:line="480" w:lineRule="auto"/>
        <w:ind w:left="720" w:hanging="720"/>
      </w:pPr>
      <w:r>
        <w:t xml:space="preserve">Stronach, R. A. E. (2023). How does learning happen? Ontario’s pedagogy of </w:t>
      </w:r>
      <w:proofErr w:type="gramStart"/>
      <w:r>
        <w:t>oppression?:</w:t>
      </w:r>
      <w:proofErr w:type="gramEnd"/>
      <w:r>
        <w:t xml:space="preserve"> A critical discourse analysis of Ontario’s early years pedagogical framework. </w:t>
      </w:r>
      <w:r>
        <w:rPr>
          <w:i/>
          <w:iCs/>
        </w:rPr>
        <w:t>Journal of Childhood Studies, 48</w:t>
      </w:r>
      <w:r>
        <w:t>(2), 32–50. https://doi.org/10.18357/jcs482202320982</w:t>
      </w:r>
    </w:p>
    <w:p w14:paraId="4792907D" w14:textId="77777777" w:rsidR="00A214F7" w:rsidRDefault="00000000">
      <w:pPr>
        <w:spacing w:line="480" w:lineRule="auto"/>
        <w:ind w:left="720" w:hanging="720"/>
      </w:pPr>
      <w:r>
        <w:t>Truth and Reconciliation Commission of Canada. (2015). Truth and Reconciliation Commission of Canada: Calls to action. https://ehprnh2mwo3.exactdn.com/wp-content/uploads/2021/01/Calls_to_Action_English2.pdf</w:t>
      </w:r>
    </w:p>
    <w:p w14:paraId="5CBDE27A" w14:textId="77777777" w:rsidR="00A214F7" w:rsidRDefault="00000000">
      <w:pPr>
        <w:spacing w:line="480" w:lineRule="auto"/>
        <w:ind w:left="720" w:hanging="720"/>
      </w:pPr>
      <w:r>
        <w:t xml:space="preserve">Villani, M. (2025, December 12). Canada, Alberta extend child-care deal one year as parents warn uncertainty is growing. </w:t>
      </w:r>
      <w:r>
        <w:rPr>
          <w:i/>
          <w:iCs/>
        </w:rPr>
        <w:t>CTV News</w:t>
      </w:r>
      <w:r>
        <w:t>. https://www.ctvnews.ca/calgary/article/canada-alberta-extend-child-care-deal-one-year-as-parents-warn-uncertainty-is-growing/</w:t>
      </w:r>
    </w:p>
    <w:sectPr w:rsidR="00A214F7">
      <w:headerReference w:type="default" r:id="rId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04878A" w14:textId="77777777" w:rsidR="00DC56F5" w:rsidRDefault="00DC56F5">
      <w:r>
        <w:separator/>
      </w:r>
    </w:p>
  </w:endnote>
  <w:endnote w:type="continuationSeparator" w:id="0">
    <w:p w14:paraId="5330314D" w14:textId="77777777" w:rsidR="00DC56F5" w:rsidRDefault="00DC5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0558A5" w14:textId="77777777" w:rsidR="00DC56F5" w:rsidRDefault="00DC56F5">
      <w:r>
        <w:separator/>
      </w:r>
    </w:p>
  </w:footnote>
  <w:footnote w:type="continuationSeparator" w:id="0">
    <w:p w14:paraId="5ABEBE77" w14:textId="77777777" w:rsidR="00DC56F5" w:rsidRDefault="00DC5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B634DC" w14:textId="77777777" w:rsidR="00A214F7" w:rsidRDefault="00000000">
    <w:pPr>
      <w:jc w:val="right"/>
    </w:pPr>
    <w:r>
      <w:fldChar w:fldCharType="begin"/>
    </w:r>
    <w:r>
      <w:instrText>PAGE</w:instrText>
    </w:r>
    <w:r>
      <w:fldChar w:fldCharType="separate"/>
    </w:r>
    <w:r w:rsidR="00EE4542">
      <w:rPr>
        <w:noProof/>
      </w:rPr>
      <w:t>1</w:t>
    </w:r>
    <w: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4F7"/>
    <w:rsid w:val="00A214F7"/>
    <w:rsid w:val="00DC56F5"/>
    <w:rsid w:val="00EE4542"/>
    <w:rsid w:val="00F626C9"/>
    <w:rsid w:val="F77FD893"/>
    <w:rsid w:val="FFFD4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9C4BA8"/>
  <w15:docId w15:val="{4D4E4391-B265-F940-A4B3-A42C2AA1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imes New Roman"/>
      <w:sz w:val="24"/>
      <w:szCs w:val="24"/>
    </w:rPr>
  </w:style>
  <w:style w:type="paragraph" w:styleId="1">
    <w:name w:val="heading 1"/>
    <w:next w:val="a"/>
    <w:qFormat/>
    <w:pPr>
      <w:outlineLvl w:val="0"/>
    </w:pPr>
    <w:rPr>
      <w:rFonts w:eastAsia="Times New Roman"/>
      <w:color w:val="2E74B5"/>
      <w:sz w:val="32"/>
      <w:szCs w:val="32"/>
    </w:rPr>
  </w:style>
  <w:style w:type="paragraph" w:styleId="2">
    <w:name w:val="heading 2"/>
    <w:next w:val="a"/>
    <w:qFormat/>
    <w:pPr>
      <w:outlineLvl w:val="1"/>
    </w:pPr>
    <w:rPr>
      <w:rFonts w:eastAsia="Times New Roman"/>
      <w:color w:val="2E74B5"/>
      <w:sz w:val="26"/>
      <w:szCs w:val="26"/>
    </w:rPr>
  </w:style>
  <w:style w:type="paragraph" w:styleId="3">
    <w:name w:val="heading 3"/>
    <w:next w:val="a"/>
    <w:qFormat/>
    <w:pPr>
      <w:outlineLvl w:val="2"/>
    </w:pPr>
    <w:rPr>
      <w:rFonts w:eastAsia="Times New Roman"/>
      <w:color w:val="1F4D78"/>
      <w:sz w:val="24"/>
      <w:szCs w:val="24"/>
    </w:rPr>
  </w:style>
  <w:style w:type="paragraph" w:styleId="4">
    <w:name w:val="heading 4"/>
    <w:next w:val="a"/>
    <w:qFormat/>
    <w:pPr>
      <w:outlineLvl w:val="3"/>
    </w:pPr>
    <w:rPr>
      <w:rFonts w:eastAsia="Times New Roman"/>
      <w:i/>
      <w:iCs/>
      <w:color w:val="2E74B5"/>
      <w:sz w:val="24"/>
      <w:szCs w:val="24"/>
    </w:rPr>
  </w:style>
  <w:style w:type="paragraph" w:styleId="5">
    <w:name w:val="heading 5"/>
    <w:next w:val="a"/>
    <w:qFormat/>
    <w:pPr>
      <w:outlineLvl w:val="4"/>
    </w:pPr>
    <w:rPr>
      <w:rFonts w:eastAsia="Times New Roman"/>
      <w:color w:val="2E74B5"/>
      <w:sz w:val="24"/>
      <w:szCs w:val="24"/>
    </w:rPr>
  </w:style>
  <w:style w:type="paragraph" w:styleId="6">
    <w:name w:val="heading 6"/>
    <w:next w:val="a"/>
    <w:qFormat/>
    <w:pPr>
      <w:outlineLvl w:val="5"/>
    </w:pPr>
    <w:rPr>
      <w:rFonts w:eastAsia="Times New Roman"/>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eastAsia="Times New Roman"/>
    </w:rPr>
  </w:style>
  <w:style w:type="paragraph" w:styleId="a5">
    <w:name w:val="footnote text"/>
    <w:link w:val="a6"/>
    <w:uiPriority w:val="99"/>
    <w:semiHidden/>
    <w:unhideWhenUsed/>
    <w:rPr>
      <w:rFonts w:eastAsia="Times New Roman"/>
    </w:rPr>
  </w:style>
  <w:style w:type="paragraph" w:styleId="a7">
    <w:name w:val="Title"/>
    <w:qFormat/>
    <w:rPr>
      <w:rFonts w:eastAsia="Times New Roman"/>
      <w:sz w:val="56"/>
      <w:szCs w:val="56"/>
    </w:rPr>
  </w:style>
  <w:style w:type="character" w:styleId="a8">
    <w:name w:val="endnote reference"/>
    <w:uiPriority w:val="99"/>
    <w:semiHidden/>
    <w:unhideWhenUsed/>
    <w:rPr>
      <w:vertAlign w:val="superscript"/>
    </w:rPr>
  </w:style>
  <w:style w:type="character" w:styleId="a9">
    <w:name w:val="Hyperlink"/>
    <w:uiPriority w:val="99"/>
    <w:unhideWhenUsed/>
    <w:rPr>
      <w:color w:val="0563C1"/>
      <w:u w:val="single"/>
    </w:rPr>
  </w:style>
  <w:style w:type="character" w:styleId="aa">
    <w:name w:val="footnote reference"/>
    <w:uiPriority w:val="99"/>
    <w:semiHidden/>
    <w:unhideWhenUsed/>
    <w:rPr>
      <w:vertAlign w:val="superscript"/>
    </w:rPr>
  </w:style>
  <w:style w:type="paragraph" w:styleId="ab">
    <w:name w:val="List Paragraph"/>
    <w:qFormat/>
    <w:rPr>
      <w:rFonts w:eastAsia="Times New Roman"/>
      <w:sz w:val="24"/>
      <w:szCs w:val="24"/>
    </w:rPr>
  </w:style>
  <w:style w:type="character" w:customStyle="1" w:styleId="a6">
    <w:name w:val="脚注文本 字符"/>
    <w:link w:val="a5"/>
    <w:uiPriority w:val="99"/>
    <w:semiHidden/>
    <w:unhideWhenUsed/>
    <w:rPr>
      <w:sz w:val="20"/>
      <w:szCs w:val="20"/>
    </w:rPr>
  </w:style>
  <w:style w:type="character" w:customStyle="1" w:styleId="a4">
    <w:name w:val="尾注文本 字符"/>
    <w:link w:val="a3"/>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1217</TotalTime>
  <Pages>12</Pages>
  <Words>2763</Words>
  <Characters>15753</Characters>
  <Application>Microsoft Office Word</Application>
  <DocSecurity>0</DocSecurity>
  <Lines>131</Lines>
  <Paragraphs>36</Paragraphs>
  <ScaleCrop>false</ScaleCrop>
  <Company/>
  <LinksUpToDate>false</LinksUpToDate>
  <CharactersWithSpaces>18480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Jiecheng Yang</cp:lastModifiedBy>
  <cp:revision>2</cp:revision>
  <dcterms:created xsi:type="dcterms:W3CDTF">2026-10-12T02:26:00Z</dcterms:created>
  <dcterms:modified xsi:type="dcterms:W3CDTF">2026-10-19T07:11:00Z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67B02EA03C6121983BB7CD6AFB4266C8_43</vt:lpwstr>
  </property>
</Properties>
</file>