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4426A4" w14:textId="77777777" w:rsidR="00826006" w:rsidRDefault="00826006">
      <w:pPr>
        <w:spacing w:line="480" w:lineRule="auto"/>
      </w:pPr>
    </w:p>
    <w:p w14:paraId="0F8B38F3" w14:textId="77777777" w:rsidR="00826006" w:rsidRDefault="00826006">
      <w:pPr>
        <w:spacing w:line="480" w:lineRule="auto"/>
      </w:pPr>
    </w:p>
    <w:p w14:paraId="6B146DCF" w14:textId="77777777" w:rsidR="00826006" w:rsidRDefault="00826006">
      <w:pPr>
        <w:spacing w:line="480" w:lineRule="auto"/>
      </w:pPr>
    </w:p>
    <w:p w14:paraId="09C58C7F" w14:textId="77777777" w:rsidR="00826006" w:rsidRDefault="00000000">
      <w:pPr>
        <w:spacing w:line="480" w:lineRule="auto"/>
        <w:jc w:val="center"/>
      </w:pPr>
      <w:r>
        <w:rPr>
          <w:rFonts w:eastAsia="Times New Roman"/>
          <w:b/>
          <w:bCs/>
        </w:rPr>
        <w:t>Lower Fees, Uneven Participation in Alberta and Ontario</w:t>
      </w:r>
    </w:p>
    <w:p w14:paraId="7AABA5FF" w14:textId="77777777" w:rsidR="00826006" w:rsidRDefault="00826006">
      <w:pPr>
        <w:spacing w:line="480" w:lineRule="auto"/>
      </w:pPr>
    </w:p>
    <w:p w14:paraId="27F6CB64" w14:textId="77777777" w:rsidR="00826006" w:rsidRDefault="00000000">
      <w:pPr>
        <w:spacing w:line="480" w:lineRule="auto"/>
        <w:jc w:val="center"/>
      </w:pPr>
      <w:r>
        <w:rPr>
          <w:rFonts w:eastAsia="Times New Roman"/>
        </w:rPr>
        <w:t>October 19, 2026</w:t>
      </w:r>
    </w:p>
    <w:p w14:paraId="41E5843C" w14:textId="77777777" w:rsidR="00826006" w:rsidRDefault="00000000">
      <w:r>
        <w:br w:type="page"/>
      </w:r>
    </w:p>
    <w:p w14:paraId="1D0EC186" w14:textId="77777777" w:rsidR="00826006" w:rsidRDefault="00000000">
      <w:pPr>
        <w:spacing w:line="480" w:lineRule="auto"/>
        <w:jc w:val="center"/>
      </w:pPr>
      <w:r>
        <w:rPr>
          <w:rFonts w:eastAsia="Times New Roman"/>
          <w:b/>
          <w:bCs/>
        </w:rPr>
        <w:lastRenderedPageBreak/>
        <w:t>Lower Fees, Uneven Participation in Alberta and Ontario</w:t>
      </w:r>
    </w:p>
    <w:p w14:paraId="5A22EF58" w14:textId="77777777" w:rsidR="00826006" w:rsidRDefault="00000000">
      <w:pPr>
        <w:spacing w:line="480" w:lineRule="auto"/>
        <w:ind w:firstLine="720"/>
      </w:pPr>
      <w:r>
        <w:rPr>
          <w:rFonts w:eastAsia="Times New Roman"/>
        </w:rPr>
        <w:t xml:space="preserve">The Canada-Wide Early Learning and Child Care (CWELCC) initiative has expanded public responsibility for childcare costs, but provinces have made different choices about distributing that support. This report compares Alberta and Ontario through Focus (a), financing CWELCC implementation. Affordability concerns fees relative to family resources; accessibility concerns available, suitable places; equitable participation concerns who </w:t>
      </w:r>
      <w:proofErr w:type="gramStart"/>
      <w:r>
        <w:rPr>
          <w:rFonts w:eastAsia="Times New Roman"/>
        </w:rPr>
        <w:t>actually uses</w:t>
      </w:r>
      <w:proofErr w:type="gramEnd"/>
      <w:r>
        <w:rPr>
          <w:rFonts w:eastAsia="Times New Roman"/>
        </w:rPr>
        <w:t xml:space="preserve"> care. I argue that both provinces fund lower fees through a </w:t>
      </w:r>
      <w:proofErr w:type="gramStart"/>
      <w:r>
        <w:rPr>
          <w:rFonts w:eastAsia="Times New Roman"/>
        </w:rPr>
        <w:t>mixed-provider</w:t>
      </w:r>
      <w:proofErr w:type="gramEnd"/>
      <w:r>
        <w:rPr>
          <w:rFonts w:eastAsia="Times New Roman"/>
        </w:rPr>
        <w:t xml:space="preserve"> </w:t>
      </w:r>
      <w:proofErr w:type="gramStart"/>
      <w:r>
        <w:rPr>
          <w:rFonts w:eastAsia="Times New Roman"/>
        </w:rPr>
        <w:t>system, but</w:t>
      </w:r>
      <w:proofErr w:type="gramEnd"/>
      <w:r>
        <w:rPr>
          <w:rFonts w:eastAsia="Times New Roman"/>
        </w:rPr>
        <w:t xml:space="preserve"> differ substantially in protecting low-income families. Alberta combines standardized fees with the removal of its younger-child income-tested subsidy, whereas Ontario retains targeted assistance alongside capped fees. Ontario should learn from Alberta’s fee clarity while protecting targeted support and connecting public funding to equitable access. To assess this, I treat financial eligibility, practical accessibility and actual participation as separate steps, using newcomer families as one example of how families can qualify for support without being able to use it.</w:t>
      </w:r>
    </w:p>
    <w:p w14:paraId="0944EF9E" w14:textId="77777777" w:rsidR="00826006" w:rsidRDefault="00000000">
      <w:pPr>
        <w:spacing w:line="480" w:lineRule="auto"/>
        <w:jc w:val="center"/>
      </w:pPr>
      <w:r>
        <w:rPr>
          <w:rFonts w:eastAsia="Times New Roman"/>
          <w:b/>
          <w:bCs/>
        </w:rPr>
        <w:t>Alberta’s ECEC Context</w:t>
      </w:r>
    </w:p>
    <w:p w14:paraId="34A94269" w14:textId="77777777" w:rsidR="00826006" w:rsidRDefault="00000000">
      <w:pPr>
        <w:spacing w:line="480" w:lineRule="auto"/>
        <w:ind w:firstLine="720"/>
      </w:pPr>
      <w:r>
        <w:rPr>
          <w:rFonts w:eastAsia="Times New Roman"/>
        </w:rPr>
        <w:t xml:space="preserve">Alberta’s licensed childcare system includes daycare, family day homes, preschool and out-of-school care. Its financing choices sit within a long history of debate over whether childcare is primarily a private responsibility or a public service (Langford, 2011). Alberta signed a $3.8-billion federal–provincial agreement in November 2021. Since April 2025, participating daycare and family day home programs have charged eligible families $326.25 monthly for full-time care and $230 for part-time care, supported by provincial affordability funding (Government of Alberta, 2026a). The federal government subsequently announced more than $1.17 billion across the extended agreements for 2026–27, with an extension to March 31, 2027 (Employment and Social Development Canada [ESDC], 2025). Alberta therefore offers a </w:t>
      </w:r>
      <w:r>
        <w:rPr>
          <w:rFonts w:eastAsia="Times New Roman"/>
        </w:rPr>
        <w:lastRenderedPageBreak/>
        <w:t>clear eligible base fee, while its funding arrangements beyond that date remain subject to further agreement.</w:t>
      </w:r>
    </w:p>
    <w:p w14:paraId="5C6590F5" w14:textId="77777777" w:rsidR="00826006" w:rsidRDefault="00000000">
      <w:pPr>
        <w:spacing w:line="480" w:lineRule="auto"/>
        <w:jc w:val="center"/>
      </w:pPr>
      <w:r>
        <w:rPr>
          <w:rFonts w:eastAsia="Times New Roman"/>
          <w:b/>
          <w:bCs/>
        </w:rPr>
        <w:t>Similarities With Ontario</w:t>
      </w:r>
    </w:p>
    <w:p w14:paraId="3F76E68A" w14:textId="77777777" w:rsidR="00826006" w:rsidRDefault="00000000">
      <w:pPr>
        <w:spacing w:line="480" w:lineRule="auto"/>
        <w:ind w:firstLine="720"/>
      </w:pPr>
      <w:r>
        <w:rPr>
          <w:rFonts w:eastAsia="Times New Roman"/>
        </w:rPr>
        <w:t>Both provinces use public operating funding to reduce eligible parent fees without replacing their mixed-provider systems. Alberta’s Affordability Grant supports participating operators, while Ontario administers CWELCC funding through local service system managers. Ontario capped eligible fees at $22 daily in January 2025, producing a reported provincial average of $19. Its September 2026 agreement extended federal funding for four years, while committing to maintain that average until June 30, 2027 (ESDC, 2026). Both systems reduce eligible fees through providers; parents do not need a separate application for the general CWELCC reduction.</w:t>
      </w:r>
    </w:p>
    <w:p w14:paraId="4F770650" w14:textId="77777777" w:rsidR="00826006" w:rsidRDefault="00000000">
      <w:pPr>
        <w:spacing w:line="480" w:lineRule="auto"/>
        <w:ind w:firstLine="720"/>
      </w:pPr>
      <w:r>
        <w:rPr>
          <w:rFonts w:eastAsia="Times New Roman"/>
        </w:rPr>
        <w:t xml:space="preserve">Public financing, however, does not by itself determine quality or equitable access. Cleveland and </w:t>
      </w:r>
      <w:proofErr w:type="spellStart"/>
      <w:r>
        <w:rPr>
          <w:rFonts w:eastAsia="Times New Roman"/>
        </w:rPr>
        <w:t>Krashinsky</w:t>
      </w:r>
      <w:proofErr w:type="spellEnd"/>
      <w:r>
        <w:rPr>
          <w:rFonts w:eastAsia="Times New Roman"/>
        </w:rPr>
        <w:t xml:space="preserve"> (2009) found a nonprofit quality advantage that varied with local market conditions. Their findings support attention to provider incentives rather than assuming that publicly funded spaces are interchangeable. Stronach’s (2023) critique of Ontario’s pedagogical framework similarly highlights how commitments to quality can coexist with educators’ inadequate compensation and working conditions. For both provinces, financing implementation therefore involves what operating funding sustains, as well as what parents pay.</w:t>
      </w:r>
    </w:p>
    <w:p w14:paraId="5FD82F3A" w14:textId="77777777" w:rsidR="00826006" w:rsidRDefault="00000000">
      <w:pPr>
        <w:spacing w:line="480" w:lineRule="auto"/>
        <w:jc w:val="center"/>
      </w:pPr>
      <w:r>
        <w:rPr>
          <w:rFonts w:eastAsia="Times New Roman"/>
          <w:b/>
          <w:bCs/>
        </w:rPr>
        <w:t>Main Differences</w:t>
      </w:r>
    </w:p>
    <w:p w14:paraId="0398B717" w14:textId="77777777" w:rsidR="00826006" w:rsidRDefault="00000000">
      <w:pPr>
        <w:spacing w:line="480" w:lineRule="auto"/>
        <w:ind w:firstLine="720"/>
      </w:pPr>
      <w:r>
        <w:rPr>
          <w:rFonts w:eastAsia="Times New Roman"/>
        </w:rPr>
        <w:t xml:space="preserve">The clearest difference concerns the distribution of remaining parent costs. Alberta’s standardized fee is not income-tested. Its April 2025 change removed the younger-child income-tested subsidy, while income-tested assistance remains available for eligible out-of-school care from full-time kindergarten to Grade 6 (Child Care Now, 2025; Government of Alberta, 2026b). </w:t>
      </w:r>
      <w:r>
        <w:rPr>
          <w:rFonts w:eastAsia="Times New Roman"/>
        </w:rPr>
        <w:lastRenderedPageBreak/>
        <w:t>Child Care Now (2025) warned that families previously paying below the new flat fee would face increases. This identifies a central policy problem: a policy can lower fees overall while increasing costs for some families previously receiving greater assistance.</w:t>
      </w:r>
    </w:p>
    <w:p w14:paraId="14B499DE" w14:textId="77777777" w:rsidR="00826006" w:rsidRDefault="00000000">
      <w:pPr>
        <w:spacing w:line="480" w:lineRule="auto"/>
        <w:ind w:firstLine="720"/>
      </w:pPr>
      <w:r>
        <w:rPr>
          <w:rFonts w:eastAsia="Times New Roman"/>
        </w:rPr>
        <w:t>Ontario retained its income-tested subsidy alongside CWELCC fee reductions. This offers additional protection, but eligibility does not guarantee admission. The Auditor General reported approximately 51,300 children under six receiving full or partial subsidies in 2023, 31% fewer than in 2019 (Office of the Auditor General of Ontario, 2025, p. 22). These counts do not measure all low-income participation or isolate CWELCC’s causal effect. Nevertheless, the decline warrants investigation because retaining financial assistance has not prevented falling enrolment among its recipients.</w:t>
      </w:r>
    </w:p>
    <w:p w14:paraId="6F7F8913" w14:textId="77777777" w:rsidR="00826006" w:rsidRDefault="00000000">
      <w:pPr>
        <w:spacing w:line="480" w:lineRule="auto"/>
        <w:ind w:firstLine="720"/>
      </w:pPr>
      <w:r>
        <w:rPr>
          <w:rFonts w:eastAsia="Times New Roman"/>
        </w:rPr>
        <w:t>Pavolini and Van Lancker’s (2018) European research provides a useful interpretive framework: structural constraints in childcare provision can disproportionately restrict disadvantaged children’s participation. It suggests questions for Ontario’s evaluation, rather than proving why Ontario’s subsidy enrolment declined.</w:t>
      </w:r>
    </w:p>
    <w:p w14:paraId="0ABA9D49" w14:textId="46FB26A9" w:rsidR="00826006" w:rsidRDefault="00000000">
      <w:pPr>
        <w:spacing w:line="480" w:lineRule="auto"/>
        <w:ind w:firstLine="720"/>
      </w:pPr>
      <w:r>
        <w:rPr>
          <w:rFonts w:eastAsia="Times New Roman"/>
        </w:rPr>
        <w:t xml:space="preserve">The provinces also differ in administrative requirements and fee predictability. Alberta publishes a standard eligible fee by attendance band. Ontario’s general reduction is also automatic, but its additional subsidy requires a locally administered income assessment (Government of Ontario, n.d.). Carbuccia et al.’s (2026) French trial found that personalized assistance reduced socioeconomic and migration gaps in applications, with limited effects on actual access. Different institutional arrangements limit direct transfer to Ontario, but the study demonstrates why successful </w:t>
      </w:r>
      <w:r w:rsidR="00A43DCD">
        <w:rPr>
          <w:rFonts w:eastAsia="Times New Roman"/>
        </w:rPr>
        <w:t>applications,</w:t>
      </w:r>
      <w:r>
        <w:rPr>
          <w:rFonts w:eastAsia="Times New Roman"/>
        </w:rPr>
        <w:t xml:space="preserve"> and successful admission should be measured separately.</w:t>
      </w:r>
    </w:p>
    <w:p w14:paraId="3430A4E7" w14:textId="7B4D0905" w:rsidR="00826006" w:rsidRDefault="00000000">
      <w:pPr>
        <w:spacing w:line="480" w:lineRule="auto"/>
        <w:ind w:firstLine="720"/>
      </w:pPr>
      <w:r>
        <w:rPr>
          <w:rFonts w:eastAsia="Times New Roman"/>
        </w:rPr>
        <w:t xml:space="preserve">Newcomer families illustrate why financial eligibility, practical </w:t>
      </w:r>
      <w:r w:rsidR="00A43DCD">
        <w:rPr>
          <w:rFonts w:eastAsia="Times New Roman" w:hint="eastAsia"/>
        </w:rPr>
        <w:t>accessibility,</w:t>
      </w:r>
      <w:r>
        <w:rPr>
          <w:rFonts w:eastAsia="Times New Roman"/>
        </w:rPr>
        <w:t xml:space="preserve"> and actual </w:t>
      </w:r>
      <w:r>
        <w:rPr>
          <w:rFonts w:eastAsia="Times New Roman"/>
        </w:rPr>
        <w:lastRenderedPageBreak/>
        <w:t>participation should be examined as separate steps, although newcomer status is not the same as low income. Awareness comes first. Of 1,341 parents surveyed across four provinces, including Alberta and Ontario, 72.18% had heard of CWELCC, but only 18.49% referred to its implementation (Burns et al., 2025, p. 73); the study did not analyze newcomer families separately. Studies with immigrant and refugee families in the United States found that some parents who had heard of subsidies assumed they were ineligible (Heinz, Bell, et al., 2025, p. 398), and that parents told they were ineligible under earlier income limits did not apply again (Heinz, Nava, et al., 2025, pp. 4–5). These findings cannot be transferred directly to Canada, but they show how eligibility can fail to become use. The funding channel matters here: the general reduction is paid through operators and requires no family action in either province, whereas Ontario’s subsidy reaches families only after they apply through a service system manager, and Alberta’s 2025 change requires families to learn which assistance still applies.</w:t>
      </w:r>
    </w:p>
    <w:p w14:paraId="49331247" w14:textId="77777777" w:rsidR="00826006" w:rsidRDefault="00000000">
      <w:pPr>
        <w:spacing w:line="480" w:lineRule="auto"/>
        <w:ind w:firstLine="720"/>
      </w:pPr>
      <w:r>
        <w:rPr>
          <w:rFonts w:eastAsia="Times New Roman"/>
        </w:rPr>
        <w:t>Alberta’s base fee also does not cover permitted optional services, including meals, transportation and extended hours (Government of Alberta, 2026a). Its published base fee therefore does not necessarily represent a family’s total payment. Concerns that supplementary charges could influence admission require monitoring; permission to charge them does not establish discriminatory admission.</w:t>
      </w:r>
    </w:p>
    <w:p w14:paraId="4750F7E6" w14:textId="77777777" w:rsidR="00826006" w:rsidRDefault="00000000">
      <w:pPr>
        <w:spacing w:line="480" w:lineRule="auto"/>
        <w:ind w:firstLine="720"/>
      </w:pPr>
      <w:r>
        <w:rPr>
          <w:rFonts w:eastAsia="Times New Roman"/>
        </w:rPr>
        <w:t>Finally, the provinces offer different planning horizons. Ontario’s four-year extension provides a longer federal funding commitment than Alberta’s one-year extension, but its stated fee commitment covers a shorter period. Funding continuity and parent-fee guarantees should therefore be compared separately.</w:t>
      </w:r>
    </w:p>
    <w:p w14:paraId="0842FEB0" w14:textId="77777777" w:rsidR="00826006" w:rsidRDefault="00000000">
      <w:pPr>
        <w:spacing w:line="480" w:lineRule="auto"/>
        <w:jc w:val="center"/>
      </w:pPr>
      <w:r>
        <w:rPr>
          <w:rFonts w:eastAsia="Times New Roman"/>
          <w:b/>
          <w:bCs/>
        </w:rPr>
        <w:t xml:space="preserve">What Ontario Can Learn </w:t>
      </w:r>
      <w:proofErr w:type="gramStart"/>
      <w:r>
        <w:rPr>
          <w:rFonts w:eastAsia="Times New Roman"/>
          <w:b/>
          <w:bCs/>
        </w:rPr>
        <w:t>From</w:t>
      </w:r>
      <w:proofErr w:type="gramEnd"/>
      <w:r>
        <w:rPr>
          <w:rFonts w:eastAsia="Times New Roman"/>
          <w:b/>
          <w:bCs/>
        </w:rPr>
        <w:t xml:space="preserve"> Alberta</w:t>
      </w:r>
    </w:p>
    <w:p w14:paraId="0D314809" w14:textId="77777777" w:rsidR="00826006" w:rsidRDefault="00000000">
      <w:pPr>
        <w:spacing w:line="480" w:lineRule="auto"/>
        <w:ind w:firstLine="720"/>
      </w:pPr>
      <w:r>
        <w:rPr>
          <w:rFonts w:eastAsia="Times New Roman"/>
        </w:rPr>
        <w:t xml:space="preserve">First, Ontario should adopt Alberta’s clarity without replacing its subsidy with a uniform </w:t>
      </w:r>
      <w:r>
        <w:rPr>
          <w:rFonts w:eastAsia="Times New Roman"/>
        </w:rPr>
        <w:lastRenderedPageBreak/>
        <w:t>payment. Families need to know the applicable fee, what it includes and which additional charges are permitted. Publishing actual payments by income would reveal burdens concealed by a provincial average. The Alberta comparison shows why administrative simplicity and income-sensitive assistance should be pursued together.</w:t>
      </w:r>
    </w:p>
    <w:p w14:paraId="36A5272F" w14:textId="77777777" w:rsidR="00826006" w:rsidRDefault="00000000">
      <w:pPr>
        <w:spacing w:line="480" w:lineRule="auto"/>
        <w:ind w:firstLine="720"/>
      </w:pPr>
      <w:r>
        <w:rPr>
          <w:rFonts w:eastAsia="Times New Roman"/>
        </w:rPr>
        <w:t>Second, Ontario should retain targeted assistance and simplify access to it. My priority would be a transparent sliding scale reaching zero for the lowest-income families, with coordinated application support. This would preserve protection that Alberta’s flat fee removed. Because service system managers already administer subsidy funding, Ontario could direct part of those allocations to multilingual navigation delivered with educators, settlement workers and community organizations. In a Nova Scotia study, ECE participants reported that information from trusted social networks was particularly helpful, partly because it was often shared in families’ preferred languages (Fakhari et al., 2023, p. 10). Carbuccia et al. (2026), however, caution against treating administrative assistance as sufficient, so Ontario should track applications, approvals and actual enrolment separately.</w:t>
      </w:r>
    </w:p>
    <w:p w14:paraId="78DD0C77" w14:textId="4FD7C63E" w:rsidR="00826006" w:rsidRDefault="00000000">
      <w:pPr>
        <w:spacing w:line="480" w:lineRule="auto"/>
        <w:ind w:firstLine="720"/>
      </w:pPr>
      <w:r>
        <w:rPr>
          <w:rFonts w:eastAsia="Times New Roman"/>
        </w:rPr>
        <w:t xml:space="preserve">Third, Ontario should connect operating and expansion funding to admission practices. Its </w:t>
      </w:r>
      <w:r w:rsidR="00A43DCD">
        <w:rPr>
          <w:rFonts w:eastAsia="Times New Roman" w:hint="eastAsia"/>
        </w:rPr>
        <w:t>auditor general</w:t>
      </w:r>
      <w:r>
        <w:rPr>
          <w:rFonts w:eastAsia="Times New Roman"/>
        </w:rPr>
        <w:t xml:space="preserve"> documented a local pilot reserving places for subsidy-eligible children. Subsidy-recipient </w:t>
      </w:r>
      <w:r w:rsidR="00A43DCD">
        <w:rPr>
          <w:rFonts w:eastAsia="Times New Roman" w:hint="eastAsia"/>
        </w:rPr>
        <w:t>enrollment</w:t>
      </w:r>
      <w:r>
        <w:rPr>
          <w:rFonts w:eastAsia="Times New Roman"/>
        </w:rPr>
        <w:t xml:space="preserve"> increased from 20% to 22% in participating </w:t>
      </w:r>
      <w:r w:rsidR="00A43DCD">
        <w:rPr>
          <w:rFonts w:eastAsia="Times New Roman" w:hint="eastAsia"/>
        </w:rPr>
        <w:t>centers</w:t>
      </w:r>
      <w:r>
        <w:rPr>
          <w:rFonts w:eastAsia="Times New Roman"/>
        </w:rPr>
        <w:t xml:space="preserve"> between February 2023 and February 2025, while declining from 23% to 14% in other </w:t>
      </w:r>
      <w:r w:rsidR="00A43DCD">
        <w:rPr>
          <w:rFonts w:eastAsia="Times New Roman"/>
        </w:rPr>
        <w:t>centers</w:t>
      </w:r>
      <w:r>
        <w:rPr>
          <w:rFonts w:eastAsia="Times New Roman"/>
        </w:rPr>
        <w:t xml:space="preserve"> (Office of the Auditor General of Ontario, 2025, p. </w:t>
      </w:r>
      <w:r w:rsidR="00A43DCD">
        <w:rPr>
          <w:rFonts w:eastAsia="Times New Roman" w:hint="eastAsia"/>
        </w:rPr>
        <w:t>23</w:t>
      </w:r>
      <w:r>
        <w:rPr>
          <w:rFonts w:eastAsia="Times New Roman"/>
        </w:rPr>
        <w:t xml:space="preserve">). This descriptive comparison does not establish </w:t>
      </w:r>
      <w:r w:rsidR="00A43DCD">
        <w:rPr>
          <w:rFonts w:eastAsia="Times New Roman" w:hint="eastAsia"/>
        </w:rPr>
        <w:t>causation but</w:t>
      </w:r>
      <w:r>
        <w:rPr>
          <w:rFonts w:eastAsia="Times New Roman"/>
        </w:rPr>
        <w:t xml:space="preserve"> provides a stronger basis for testing admission priorities than assuming lower prices will distribute places fairly.</w:t>
      </w:r>
    </w:p>
    <w:p w14:paraId="53341BA1" w14:textId="615A092B" w:rsidR="00826006" w:rsidRDefault="00000000">
      <w:pPr>
        <w:spacing w:line="480" w:lineRule="auto"/>
        <w:ind w:firstLine="720"/>
      </w:pPr>
      <w:r>
        <w:rPr>
          <w:rFonts w:eastAsia="Times New Roman"/>
        </w:rPr>
        <w:t xml:space="preserve">Toronto’s home childcare expansion guide also prioritizes underserved areas and applications from nonprofit, Indigenous-led, Francophone and Black-led or Black-serving </w:t>
      </w:r>
      <w:r>
        <w:rPr>
          <w:rFonts w:eastAsia="Times New Roman"/>
        </w:rPr>
        <w:lastRenderedPageBreak/>
        <w:t xml:space="preserve">organizations (City of Toronto, 2025). These are funding priorities, not demonstrated participation outcomes. Ontario should evaluate such approaches using </w:t>
      </w:r>
      <w:r w:rsidR="00A43DCD">
        <w:rPr>
          <w:rFonts w:eastAsia="Times New Roman" w:hint="eastAsia"/>
        </w:rPr>
        <w:t>enrollment,</w:t>
      </w:r>
      <w:r>
        <w:rPr>
          <w:rFonts w:eastAsia="Times New Roman"/>
        </w:rPr>
        <w:t xml:space="preserve"> waiting </w:t>
      </w:r>
      <w:r w:rsidR="00A43DCD">
        <w:rPr>
          <w:rFonts w:eastAsia="Times New Roman" w:hint="eastAsia"/>
        </w:rPr>
        <w:t>times,</w:t>
      </w:r>
      <w:r>
        <w:rPr>
          <w:rFonts w:eastAsia="Times New Roman"/>
        </w:rPr>
        <w:t xml:space="preserve"> and actual payments by income, while ensuring operating allocations support educators and program quality.</w:t>
      </w:r>
    </w:p>
    <w:p w14:paraId="6514F1D7" w14:textId="77777777" w:rsidR="00826006" w:rsidRDefault="00000000">
      <w:pPr>
        <w:spacing w:line="480" w:lineRule="auto"/>
        <w:jc w:val="center"/>
      </w:pPr>
      <w:r>
        <w:rPr>
          <w:rFonts w:eastAsia="Times New Roman"/>
          <w:b/>
          <w:bCs/>
        </w:rPr>
        <w:t>Conclusion</w:t>
      </w:r>
    </w:p>
    <w:p w14:paraId="4F6276CD" w14:textId="77777777" w:rsidR="00A43DCD" w:rsidRPr="00E02910" w:rsidRDefault="00A43DCD" w:rsidP="00A43DCD">
      <w:pPr>
        <w:spacing w:line="480" w:lineRule="auto"/>
        <w:ind w:firstLineChars="300" w:firstLine="720"/>
        <w:rPr>
          <w:rFonts w:eastAsia="Times New Roman"/>
        </w:rPr>
      </w:pPr>
      <w:r w:rsidRPr="00E02910">
        <w:rPr>
          <w:rFonts w:eastAsia="Times New Roman"/>
        </w:rPr>
        <w:t>Lower childcare fees do not necessarily lead to equitable participation. Alberta makes eligible fees easier to predict, but removing income-tested assistance for younger children can increase costs for families who previously received greater support. Ontario retains targeted subsidies, yet financial assistance cannot guarantee a suitable childcare place. This comparison shows why affordability, accessibility, and equitable participation must be assessed separately.</w:t>
      </w:r>
    </w:p>
    <w:p w14:paraId="0F7470D7" w14:textId="77777777" w:rsidR="00A43DCD" w:rsidRPr="00E02910" w:rsidRDefault="00A43DCD" w:rsidP="00A43DCD">
      <w:pPr>
        <w:spacing w:line="480" w:lineRule="auto"/>
        <w:ind w:firstLine="720"/>
        <w:rPr>
          <w:rFonts w:eastAsia="Times New Roman"/>
        </w:rPr>
      </w:pPr>
    </w:p>
    <w:p w14:paraId="01199DD5" w14:textId="77777777" w:rsidR="00A43DCD" w:rsidRPr="00E02910" w:rsidRDefault="00A43DCD" w:rsidP="00A43DCD">
      <w:pPr>
        <w:spacing w:line="480" w:lineRule="auto"/>
        <w:ind w:firstLine="720"/>
        <w:rPr>
          <w:rFonts w:eastAsia="Times New Roman"/>
        </w:rPr>
      </w:pPr>
      <w:r w:rsidRPr="00E02910">
        <w:rPr>
          <w:rFonts w:eastAsia="Times New Roman"/>
        </w:rPr>
        <w:t>Ontario should learn from Alberta’s fee clarity without weakening protection for low-income families. It should simplify income-tested assistance and connect public funding to available spaces and admission practices, informed by the local pilot documented by the Auditor General. These efforts must also support Indigenous-led programs shaped by the communities they serve (ESDC, 2018).</w:t>
      </w:r>
    </w:p>
    <w:p w14:paraId="4EC8B0EC" w14:textId="77777777" w:rsidR="00A43DCD" w:rsidRPr="00E02910" w:rsidRDefault="00A43DCD" w:rsidP="00A43DCD">
      <w:pPr>
        <w:spacing w:line="480" w:lineRule="auto"/>
        <w:ind w:firstLine="720"/>
        <w:rPr>
          <w:rFonts w:eastAsia="Times New Roman"/>
        </w:rPr>
      </w:pPr>
    </w:p>
    <w:p w14:paraId="04381E96" w14:textId="77777777" w:rsidR="00A43DCD" w:rsidRDefault="00A43DCD" w:rsidP="00A43DCD">
      <w:pPr>
        <w:spacing w:line="480" w:lineRule="auto"/>
        <w:ind w:firstLine="720"/>
      </w:pPr>
      <w:r w:rsidRPr="00E02910">
        <w:rPr>
          <w:rFonts w:eastAsia="Times New Roman"/>
        </w:rPr>
        <w:t>Week 2’s distinction between systems and programs helps explain the broader problem: funding decisions operate at the system level, but families experience access through individual programs (Kim, 2026a). For me, CWELCC’s success should therefore be judged not only by lower fees</w:t>
      </w:r>
      <w:r>
        <w:rPr>
          <w:rFonts w:eastAsia="Times New Roman"/>
        </w:rPr>
        <w:t xml:space="preserve"> but </w:t>
      </w:r>
      <w:r w:rsidRPr="00E02910">
        <w:rPr>
          <w:rFonts w:eastAsia="Times New Roman"/>
        </w:rPr>
        <w:t>by whether publicly funded childcare reaches the families it is intended to serve.</w:t>
      </w:r>
      <w:r>
        <w:rPr>
          <w:rFonts w:eastAsia="Times New Roman"/>
        </w:rPr>
        <w:t xml:space="preserve"> </w:t>
      </w:r>
    </w:p>
    <w:p w14:paraId="3AC5D0E5" w14:textId="77777777" w:rsidR="00A43DCD" w:rsidRDefault="00A43DCD">
      <w:pPr>
        <w:spacing w:line="480" w:lineRule="auto"/>
        <w:jc w:val="center"/>
        <w:rPr>
          <w:rFonts w:eastAsia="Times New Roman"/>
          <w:b/>
          <w:bCs/>
        </w:rPr>
      </w:pPr>
    </w:p>
    <w:p w14:paraId="11D69941" w14:textId="77777777" w:rsidR="00A43DCD" w:rsidRDefault="00A43DCD" w:rsidP="00A43DCD">
      <w:pPr>
        <w:spacing w:line="480" w:lineRule="auto"/>
        <w:rPr>
          <w:rFonts w:eastAsia="Times New Roman" w:hint="eastAsia"/>
          <w:b/>
          <w:bCs/>
        </w:rPr>
      </w:pPr>
    </w:p>
    <w:p w14:paraId="352F2EFE" w14:textId="54EFE2A4" w:rsidR="00826006" w:rsidRDefault="00000000">
      <w:pPr>
        <w:spacing w:line="480" w:lineRule="auto"/>
        <w:jc w:val="center"/>
      </w:pPr>
      <w:r>
        <w:rPr>
          <w:rFonts w:eastAsia="Times New Roman"/>
          <w:b/>
          <w:bCs/>
        </w:rPr>
        <w:lastRenderedPageBreak/>
        <w:t>References</w:t>
      </w:r>
    </w:p>
    <w:p w14:paraId="6E2A9F23" w14:textId="77777777" w:rsidR="00826006" w:rsidRDefault="00000000">
      <w:pPr>
        <w:spacing w:line="480" w:lineRule="auto"/>
        <w:ind w:left="720" w:hanging="720"/>
      </w:pPr>
      <w:r>
        <w:rPr>
          <w:rFonts w:eastAsia="Times New Roman"/>
        </w:rPr>
        <w:t xml:space="preserve">Burns, S., Yu, E., Perlman, J., Kahlon, K., &amp; Perlman, M. (2025). “It is almost impossible to get a spot when you need it”: Understanding parental knowledge and experiences of Canada’s new </w:t>
      </w:r>
      <w:proofErr w:type="gramStart"/>
      <w:r>
        <w:rPr>
          <w:rFonts w:eastAsia="Times New Roman"/>
        </w:rPr>
        <w:t>child care</w:t>
      </w:r>
      <w:proofErr w:type="gramEnd"/>
      <w:r>
        <w:rPr>
          <w:rFonts w:eastAsia="Times New Roman"/>
        </w:rPr>
        <w:t xml:space="preserve"> policy promoting access to quality early childhood education and care. </w:t>
      </w:r>
      <w:r>
        <w:rPr>
          <w:rFonts w:eastAsia="Times New Roman"/>
          <w:i/>
          <w:iCs/>
        </w:rPr>
        <w:t>Early Childhood Research Quarterly, 73</w:t>
      </w:r>
      <w:r>
        <w:rPr>
          <w:rFonts w:eastAsia="Times New Roman"/>
        </w:rPr>
        <w:t>, 69–81. https://doi.org/10.1016/j.ecresq.2025.05.004</w:t>
      </w:r>
    </w:p>
    <w:p w14:paraId="7427EBE3" w14:textId="77777777" w:rsidR="00826006" w:rsidRDefault="00000000">
      <w:pPr>
        <w:spacing w:line="480" w:lineRule="auto"/>
        <w:ind w:left="720" w:hanging="720"/>
      </w:pPr>
      <w:r>
        <w:rPr>
          <w:rFonts w:eastAsia="Times New Roman"/>
        </w:rPr>
        <w:t xml:space="preserve">Carbuccia, L., Heim, A., Barone, C., &amp; Chevallier, C. (2026). A randomized controlled trial on the effect of administrative burden and information costs on social inequalities in early childcare access in France. </w:t>
      </w:r>
      <w:r>
        <w:rPr>
          <w:rFonts w:eastAsia="Times New Roman"/>
          <w:i/>
          <w:iCs/>
        </w:rPr>
        <w:t xml:space="preserve">Nature Human </w:t>
      </w:r>
      <w:proofErr w:type="spellStart"/>
      <w:r>
        <w:rPr>
          <w:rFonts w:eastAsia="Times New Roman"/>
          <w:i/>
          <w:iCs/>
        </w:rPr>
        <w:t>Behaviour</w:t>
      </w:r>
      <w:proofErr w:type="spellEnd"/>
      <w:r>
        <w:rPr>
          <w:rFonts w:eastAsia="Times New Roman"/>
          <w:i/>
          <w:iCs/>
        </w:rPr>
        <w:t>, 10</w:t>
      </w:r>
      <w:r>
        <w:rPr>
          <w:rFonts w:eastAsia="Times New Roman"/>
        </w:rPr>
        <w:t>, 64–79. https://doi.org/10.1038/s41562-025-02293-4</w:t>
      </w:r>
    </w:p>
    <w:p w14:paraId="3A914C24" w14:textId="77777777" w:rsidR="00826006" w:rsidRDefault="00000000">
      <w:pPr>
        <w:spacing w:line="480" w:lineRule="auto"/>
        <w:ind w:left="720" w:hanging="720"/>
      </w:pPr>
      <w:r>
        <w:rPr>
          <w:rFonts w:eastAsia="Times New Roman"/>
        </w:rPr>
        <w:t xml:space="preserve">Child Care Now. (2025, February 12). </w:t>
      </w:r>
      <w:r>
        <w:rPr>
          <w:rFonts w:eastAsia="Times New Roman"/>
          <w:i/>
          <w:iCs/>
        </w:rPr>
        <w:t xml:space="preserve">Backgrounder: Alberta’s $15-a-day </w:t>
      </w:r>
      <w:proofErr w:type="gramStart"/>
      <w:r>
        <w:rPr>
          <w:rFonts w:eastAsia="Times New Roman"/>
          <w:i/>
          <w:iCs/>
        </w:rPr>
        <w:t>child care</w:t>
      </w:r>
      <w:proofErr w:type="gramEnd"/>
      <w:r>
        <w:rPr>
          <w:rFonts w:eastAsia="Times New Roman"/>
          <w:i/>
          <w:iCs/>
        </w:rPr>
        <w:t xml:space="preserve"> program</w:t>
      </w:r>
      <w:r>
        <w:rPr>
          <w:rFonts w:eastAsia="Times New Roman"/>
        </w:rPr>
        <w:t>. https://childcarenow.ca/2025/02/12/backgrounder-albertas-15-a-day-child-care-program/</w:t>
      </w:r>
    </w:p>
    <w:p w14:paraId="7322D179" w14:textId="77777777" w:rsidR="00826006" w:rsidRDefault="00000000">
      <w:pPr>
        <w:spacing w:line="480" w:lineRule="auto"/>
        <w:ind w:left="720" w:hanging="720"/>
      </w:pPr>
      <w:r>
        <w:rPr>
          <w:rFonts w:eastAsia="Times New Roman"/>
        </w:rPr>
        <w:t xml:space="preserve">City of Toronto. (2025, July). </w:t>
      </w:r>
      <w:r>
        <w:rPr>
          <w:rFonts w:eastAsia="Times New Roman"/>
          <w:i/>
          <w:iCs/>
        </w:rPr>
        <w:t xml:space="preserve">Canada-wide Early Learning and Child Care (CWELCC) enrollment guide—Home </w:t>
      </w:r>
      <w:proofErr w:type="gramStart"/>
      <w:r>
        <w:rPr>
          <w:rFonts w:eastAsia="Times New Roman"/>
          <w:i/>
          <w:iCs/>
        </w:rPr>
        <w:t>child care</w:t>
      </w:r>
      <w:proofErr w:type="gramEnd"/>
      <w:r>
        <w:rPr>
          <w:rFonts w:eastAsia="Times New Roman"/>
        </w:rPr>
        <w:t>. https://www.toronto.ca/wp-content/uploads/2025/07/96a3-tcs-cwelcc-expansion-guide-hcc.pdf</w:t>
      </w:r>
    </w:p>
    <w:p w14:paraId="19CB0B57" w14:textId="77777777" w:rsidR="00826006" w:rsidRDefault="00000000">
      <w:pPr>
        <w:spacing w:line="480" w:lineRule="auto"/>
        <w:ind w:left="720" w:hanging="720"/>
      </w:pPr>
      <w:r>
        <w:rPr>
          <w:rFonts w:eastAsia="Times New Roman"/>
        </w:rPr>
        <w:t xml:space="preserve">Cleveland, G., &amp; </w:t>
      </w:r>
      <w:proofErr w:type="spellStart"/>
      <w:r>
        <w:rPr>
          <w:rFonts w:eastAsia="Times New Roman"/>
        </w:rPr>
        <w:t>Krashinsky</w:t>
      </w:r>
      <w:proofErr w:type="spellEnd"/>
      <w:r>
        <w:rPr>
          <w:rFonts w:eastAsia="Times New Roman"/>
        </w:rPr>
        <w:t xml:space="preserve">, M. (2009). The nonprofit advantage: Producing quality in thick and thin </w:t>
      </w:r>
      <w:proofErr w:type="gramStart"/>
      <w:r>
        <w:rPr>
          <w:rFonts w:eastAsia="Times New Roman"/>
        </w:rPr>
        <w:t>child care</w:t>
      </w:r>
      <w:proofErr w:type="gramEnd"/>
      <w:r>
        <w:rPr>
          <w:rFonts w:eastAsia="Times New Roman"/>
        </w:rPr>
        <w:t xml:space="preserve"> markets. </w:t>
      </w:r>
      <w:r>
        <w:rPr>
          <w:rFonts w:eastAsia="Times New Roman"/>
          <w:i/>
          <w:iCs/>
        </w:rPr>
        <w:t>Journal of Policy Analysis and Management, 28</w:t>
      </w:r>
      <w:r>
        <w:rPr>
          <w:rFonts w:eastAsia="Times New Roman"/>
        </w:rPr>
        <w:t>(3), 440–462. https://doi.org/10.1002/pam.20440</w:t>
      </w:r>
    </w:p>
    <w:p w14:paraId="2504A0A5" w14:textId="77777777" w:rsidR="00826006" w:rsidRDefault="00000000">
      <w:pPr>
        <w:spacing w:line="480" w:lineRule="auto"/>
        <w:ind w:left="720" w:hanging="720"/>
      </w:pPr>
      <w:r>
        <w:rPr>
          <w:rFonts w:eastAsia="Times New Roman"/>
        </w:rPr>
        <w:t xml:space="preserve">Employment and Social Development Canada. (2018). </w:t>
      </w:r>
      <w:r>
        <w:rPr>
          <w:rFonts w:eastAsia="Times New Roman"/>
          <w:i/>
          <w:iCs/>
        </w:rPr>
        <w:t xml:space="preserve">Indigenous early learning and </w:t>
      </w:r>
      <w:proofErr w:type="gramStart"/>
      <w:r>
        <w:rPr>
          <w:rFonts w:eastAsia="Times New Roman"/>
          <w:i/>
          <w:iCs/>
        </w:rPr>
        <w:t>child care</w:t>
      </w:r>
      <w:proofErr w:type="gramEnd"/>
      <w:r>
        <w:rPr>
          <w:rFonts w:eastAsia="Times New Roman"/>
          <w:i/>
          <w:iCs/>
        </w:rPr>
        <w:t xml:space="preserve"> framework</w:t>
      </w:r>
      <w:r>
        <w:rPr>
          <w:rFonts w:eastAsia="Times New Roman"/>
        </w:rPr>
        <w:t>. https://www.canada.ca/en/employment-social-</w:t>
      </w:r>
      <w:r>
        <w:rPr>
          <w:rFonts w:eastAsia="Times New Roman"/>
        </w:rPr>
        <w:lastRenderedPageBreak/>
        <w:t>development/programs/indigenous-early-learning/2018-framework.html</w:t>
      </w:r>
    </w:p>
    <w:p w14:paraId="3D93950F" w14:textId="77777777" w:rsidR="00826006" w:rsidRDefault="00000000">
      <w:pPr>
        <w:spacing w:line="480" w:lineRule="auto"/>
        <w:ind w:left="720" w:hanging="720"/>
      </w:pPr>
      <w:r>
        <w:rPr>
          <w:rFonts w:eastAsia="Times New Roman"/>
        </w:rPr>
        <w:t xml:space="preserve">Employment and Social Development Canada. (2025, December 12). </w:t>
      </w:r>
      <w:r>
        <w:rPr>
          <w:rFonts w:eastAsia="Times New Roman"/>
          <w:i/>
          <w:iCs/>
        </w:rPr>
        <w:t xml:space="preserve">Canada and Alberta agree to one-year extension of early learning and </w:t>
      </w:r>
      <w:proofErr w:type="gramStart"/>
      <w:r>
        <w:rPr>
          <w:rFonts w:eastAsia="Times New Roman"/>
          <w:i/>
          <w:iCs/>
        </w:rPr>
        <w:t>child care</w:t>
      </w:r>
      <w:proofErr w:type="gramEnd"/>
      <w:r>
        <w:rPr>
          <w:rFonts w:eastAsia="Times New Roman"/>
          <w:i/>
          <w:iCs/>
        </w:rPr>
        <w:t xml:space="preserve"> agreements</w:t>
      </w:r>
      <w:r>
        <w:rPr>
          <w:rFonts w:eastAsia="Times New Roman"/>
        </w:rPr>
        <w:t xml:space="preserve"> [News release]. https://www.canada.ca/en/employment-social-development/news/2025/12/canada-and-alberta-agree-to-one-year-extension-of-early-learning-and-child-care-agreements.html</w:t>
      </w:r>
    </w:p>
    <w:p w14:paraId="61CA465A" w14:textId="77777777" w:rsidR="00826006" w:rsidRDefault="00000000">
      <w:pPr>
        <w:spacing w:line="480" w:lineRule="auto"/>
        <w:ind w:left="720" w:hanging="720"/>
      </w:pPr>
      <w:r>
        <w:rPr>
          <w:rFonts w:eastAsia="Times New Roman"/>
        </w:rPr>
        <w:t xml:space="preserve">Employment and Social Development Canada. (2026, September 29). </w:t>
      </w:r>
      <w:r>
        <w:rPr>
          <w:rFonts w:eastAsia="Times New Roman"/>
          <w:i/>
          <w:iCs/>
        </w:rPr>
        <w:t xml:space="preserve">Canada and Ontario agree to four-year extension of Canada–Ontario Canada-wide early learning and </w:t>
      </w:r>
      <w:proofErr w:type="gramStart"/>
      <w:r>
        <w:rPr>
          <w:rFonts w:eastAsia="Times New Roman"/>
          <w:i/>
          <w:iCs/>
        </w:rPr>
        <w:t>child care</w:t>
      </w:r>
      <w:proofErr w:type="gramEnd"/>
      <w:r>
        <w:rPr>
          <w:rFonts w:eastAsia="Times New Roman"/>
          <w:i/>
          <w:iCs/>
        </w:rPr>
        <w:t xml:space="preserve"> agreement</w:t>
      </w:r>
      <w:r>
        <w:rPr>
          <w:rFonts w:eastAsia="Times New Roman"/>
        </w:rPr>
        <w:t xml:space="preserve"> [News release]. https://www.canada.ca/en/employment-social-development/news/2026/09/canada-and-ontario-agree-to-four-year-extension-of-canadaontario-canada-wide-early-learning-and-child-care-agreement.html</w:t>
      </w:r>
    </w:p>
    <w:p w14:paraId="27F9C5BC" w14:textId="77777777" w:rsidR="00826006" w:rsidRDefault="00000000">
      <w:pPr>
        <w:spacing w:line="480" w:lineRule="auto"/>
        <w:ind w:left="720" w:hanging="720"/>
      </w:pPr>
      <w:r>
        <w:rPr>
          <w:rFonts w:eastAsia="Times New Roman"/>
        </w:rPr>
        <w:t xml:space="preserve">Fakhari, N., McIsaac, J.-L. D., Feicht, R., Reddington, S., Brigham, S., </w:t>
      </w:r>
      <w:proofErr w:type="spellStart"/>
      <w:r>
        <w:rPr>
          <w:rFonts w:eastAsia="Times New Roman"/>
        </w:rPr>
        <w:t>Mandrona</w:t>
      </w:r>
      <w:proofErr w:type="spellEnd"/>
      <w:r>
        <w:rPr>
          <w:rFonts w:eastAsia="Times New Roman"/>
        </w:rPr>
        <w:t xml:space="preserve">, A., McLean, C., Harkins, M. J., &amp; Stirling Cameron, E. (2023). Looking through the lens: A photovoice study examining access to services for newcomer children. </w:t>
      </w:r>
      <w:r>
        <w:rPr>
          <w:rFonts w:eastAsia="Times New Roman"/>
          <w:i/>
          <w:iCs/>
        </w:rPr>
        <w:t>International Journal of Qualitative Studies on Health and Well-Being, 18</w:t>
      </w:r>
      <w:r>
        <w:rPr>
          <w:rFonts w:eastAsia="Times New Roman"/>
        </w:rPr>
        <w:t>(1), Article 2255176. https://doi.org/10.1080/17482631.2023.2255176</w:t>
      </w:r>
    </w:p>
    <w:p w14:paraId="34238B60" w14:textId="77777777" w:rsidR="00826006" w:rsidRDefault="00000000">
      <w:pPr>
        <w:spacing w:line="480" w:lineRule="auto"/>
        <w:ind w:left="720" w:hanging="720"/>
      </w:pPr>
      <w:r>
        <w:rPr>
          <w:rFonts w:eastAsia="Times New Roman"/>
        </w:rPr>
        <w:t xml:space="preserve">Government of Alberta. (2026a). </w:t>
      </w:r>
      <w:r>
        <w:rPr>
          <w:rFonts w:eastAsia="Times New Roman"/>
          <w:i/>
          <w:iCs/>
        </w:rPr>
        <w:t>Childcare fees</w:t>
      </w:r>
      <w:r>
        <w:rPr>
          <w:rFonts w:eastAsia="Times New Roman"/>
        </w:rPr>
        <w:t>. https://www.alberta.ca/childcare-fees</w:t>
      </w:r>
    </w:p>
    <w:p w14:paraId="52A69FB1" w14:textId="77777777" w:rsidR="00826006" w:rsidRDefault="00000000">
      <w:pPr>
        <w:spacing w:line="480" w:lineRule="auto"/>
        <w:ind w:left="720" w:hanging="720"/>
      </w:pPr>
      <w:r>
        <w:rPr>
          <w:rFonts w:eastAsia="Times New Roman"/>
        </w:rPr>
        <w:t xml:space="preserve">Government of Alberta. (2026b). </w:t>
      </w:r>
      <w:r>
        <w:rPr>
          <w:rFonts w:eastAsia="Times New Roman"/>
          <w:i/>
          <w:iCs/>
        </w:rPr>
        <w:t>Child care subsidy</w:t>
      </w:r>
      <w:r>
        <w:rPr>
          <w:rFonts w:eastAsia="Times New Roman"/>
        </w:rPr>
        <w:t>. https://www.alberta.ca/child-care-subsidy</w:t>
      </w:r>
    </w:p>
    <w:p w14:paraId="5D491D85" w14:textId="77777777" w:rsidR="00826006" w:rsidRDefault="00000000">
      <w:pPr>
        <w:spacing w:line="480" w:lineRule="auto"/>
        <w:ind w:left="720" w:hanging="720"/>
      </w:pPr>
      <w:r>
        <w:rPr>
          <w:rFonts w:eastAsia="Times New Roman"/>
        </w:rPr>
        <w:t xml:space="preserve">Government of Ontario. (n.d.). </w:t>
      </w:r>
      <w:r>
        <w:rPr>
          <w:rFonts w:eastAsia="Times New Roman"/>
          <w:i/>
          <w:iCs/>
        </w:rPr>
        <w:t xml:space="preserve">Canada–Ontario early learning and </w:t>
      </w:r>
      <w:proofErr w:type="gramStart"/>
      <w:r>
        <w:rPr>
          <w:rFonts w:eastAsia="Times New Roman"/>
          <w:i/>
          <w:iCs/>
        </w:rPr>
        <w:t>child care</w:t>
      </w:r>
      <w:proofErr w:type="gramEnd"/>
      <w:r>
        <w:rPr>
          <w:rFonts w:eastAsia="Times New Roman"/>
          <w:i/>
          <w:iCs/>
        </w:rPr>
        <w:t xml:space="preserve"> agreement</w:t>
      </w:r>
      <w:r>
        <w:rPr>
          <w:rFonts w:eastAsia="Times New Roman"/>
        </w:rPr>
        <w:t>. https://www.ontario.ca/page/canada-ontario-early-years-and-child-care-agreement</w:t>
      </w:r>
    </w:p>
    <w:p w14:paraId="58FE5773" w14:textId="77777777" w:rsidR="00826006" w:rsidRDefault="00000000">
      <w:pPr>
        <w:spacing w:line="480" w:lineRule="auto"/>
        <w:ind w:left="720" w:hanging="720"/>
      </w:pPr>
      <w:r>
        <w:rPr>
          <w:rFonts w:eastAsia="Times New Roman"/>
        </w:rPr>
        <w:t xml:space="preserve">Heinz, H., Bell, D., Castillo, D., Fowler, R., Cordova, Y., </w:t>
      </w:r>
      <w:proofErr w:type="spellStart"/>
      <w:r>
        <w:rPr>
          <w:rFonts w:eastAsia="Times New Roman"/>
        </w:rPr>
        <w:t>Lesansee</w:t>
      </w:r>
      <w:proofErr w:type="spellEnd"/>
      <w:r>
        <w:rPr>
          <w:rFonts w:eastAsia="Times New Roman"/>
        </w:rPr>
        <w:t xml:space="preserve">, S., Breidenbach, A. L., Juarez, R., Acharya, B., &amp; Kaminsky, A. (2025). </w:t>
      </w:r>
      <w:proofErr w:type="gramStart"/>
      <w:r>
        <w:rPr>
          <w:rFonts w:eastAsia="Times New Roman"/>
        </w:rPr>
        <w:t>Child care</w:t>
      </w:r>
      <w:proofErr w:type="gramEnd"/>
      <w:r>
        <w:rPr>
          <w:rFonts w:eastAsia="Times New Roman"/>
        </w:rPr>
        <w:t xml:space="preserve"> use, preferences and access constraints among Native American, immigrant, refugee and Spanish-speaking families in New Mexico. </w:t>
      </w:r>
      <w:r>
        <w:rPr>
          <w:rFonts w:eastAsia="Times New Roman"/>
          <w:i/>
          <w:iCs/>
        </w:rPr>
        <w:t>Early Childhood Research Quarterly, 70</w:t>
      </w:r>
      <w:r>
        <w:rPr>
          <w:rFonts w:eastAsia="Times New Roman"/>
        </w:rPr>
        <w:t>, 393–403. https://doi.org/10.1016/j.ecresq.2024.11.008</w:t>
      </w:r>
    </w:p>
    <w:p w14:paraId="306DB257" w14:textId="77777777" w:rsidR="00826006" w:rsidRDefault="00000000">
      <w:pPr>
        <w:spacing w:line="480" w:lineRule="auto"/>
        <w:ind w:left="720" w:hanging="720"/>
      </w:pPr>
      <w:r>
        <w:rPr>
          <w:rFonts w:eastAsia="Times New Roman"/>
        </w:rPr>
        <w:lastRenderedPageBreak/>
        <w:t xml:space="preserve">Heinz, H., Nava, M., Asencio Pimentel, M. F., Cordova, Y., Baker Martínez, E., &amp; Jimenez, E. Y. (2025). Family perspectives from users and non-users of subsidized </w:t>
      </w:r>
      <w:proofErr w:type="gramStart"/>
      <w:r>
        <w:rPr>
          <w:rFonts w:eastAsia="Times New Roman"/>
        </w:rPr>
        <w:t>child care</w:t>
      </w:r>
      <w:proofErr w:type="gramEnd"/>
      <w:r>
        <w:rPr>
          <w:rFonts w:eastAsia="Times New Roman"/>
        </w:rPr>
        <w:t xml:space="preserve">: Benefits and barriers to subsidy participation. </w:t>
      </w:r>
      <w:r>
        <w:rPr>
          <w:rFonts w:eastAsia="Times New Roman"/>
          <w:i/>
          <w:iCs/>
        </w:rPr>
        <w:t>Children and Youth Services Review, 169</w:t>
      </w:r>
      <w:r>
        <w:rPr>
          <w:rFonts w:eastAsia="Times New Roman"/>
        </w:rPr>
        <w:t>, Article 108090. https://doi.org/10.1016/j.childyouth.2024.108090</w:t>
      </w:r>
    </w:p>
    <w:p w14:paraId="7B5F8C18" w14:textId="77777777" w:rsidR="00826006" w:rsidRDefault="00000000">
      <w:pPr>
        <w:spacing w:line="480" w:lineRule="auto"/>
        <w:ind w:left="720" w:hanging="720"/>
      </w:pPr>
      <w:r>
        <w:rPr>
          <w:rFonts w:eastAsia="Times New Roman"/>
        </w:rPr>
        <w:t xml:space="preserve">Kim, C. C. (2026a). </w:t>
      </w:r>
      <w:r>
        <w:rPr>
          <w:rFonts w:eastAsia="Times New Roman"/>
          <w:i/>
          <w:iCs/>
        </w:rPr>
        <w:t>Early childhood programs &amp; systems delivery: Week 2</w:t>
      </w:r>
      <w:r>
        <w:rPr>
          <w:rFonts w:eastAsia="Times New Roman"/>
        </w:rPr>
        <w:t xml:space="preserve"> [Lecture slides]. George Brown Polytechnic.</w:t>
      </w:r>
    </w:p>
    <w:p w14:paraId="4062535A" w14:textId="77777777" w:rsidR="00826006" w:rsidRDefault="00000000">
      <w:pPr>
        <w:spacing w:line="480" w:lineRule="auto"/>
        <w:ind w:left="720" w:hanging="720"/>
      </w:pPr>
      <w:r>
        <w:rPr>
          <w:rFonts w:eastAsia="Times New Roman"/>
        </w:rPr>
        <w:t xml:space="preserve">Langford, T. (2011). </w:t>
      </w:r>
      <w:r>
        <w:rPr>
          <w:rFonts w:eastAsia="Times New Roman"/>
          <w:i/>
          <w:iCs/>
        </w:rPr>
        <w:t>Alberta’s day care controversy: From 1908 to 2009 and beyond</w:t>
      </w:r>
      <w:r>
        <w:rPr>
          <w:rFonts w:eastAsia="Times New Roman"/>
        </w:rPr>
        <w:t>. Athabasca University Press.</w:t>
      </w:r>
    </w:p>
    <w:p w14:paraId="17246B2E" w14:textId="77777777" w:rsidR="00826006" w:rsidRDefault="00000000">
      <w:pPr>
        <w:spacing w:line="480" w:lineRule="auto"/>
        <w:ind w:left="720" w:hanging="720"/>
      </w:pPr>
      <w:r>
        <w:rPr>
          <w:rFonts w:eastAsia="Times New Roman"/>
        </w:rPr>
        <w:t xml:space="preserve">Office of the Auditor General of Ontario. (2025). </w:t>
      </w:r>
      <w:r>
        <w:rPr>
          <w:rFonts w:eastAsia="Times New Roman"/>
          <w:i/>
          <w:iCs/>
        </w:rPr>
        <w:t xml:space="preserve">Canada-wide early learning and </w:t>
      </w:r>
      <w:proofErr w:type="gramStart"/>
      <w:r>
        <w:rPr>
          <w:rFonts w:eastAsia="Times New Roman"/>
          <w:i/>
          <w:iCs/>
        </w:rPr>
        <w:t>child care</w:t>
      </w:r>
      <w:proofErr w:type="gramEnd"/>
      <w:r>
        <w:rPr>
          <w:rFonts w:eastAsia="Times New Roman"/>
          <w:i/>
          <w:iCs/>
        </w:rPr>
        <w:t xml:space="preserve"> program</w:t>
      </w:r>
      <w:r>
        <w:rPr>
          <w:rFonts w:eastAsia="Times New Roman"/>
        </w:rPr>
        <w:t xml:space="preserve"> [Special report]. https://auditor.on.ca/en/content/specialreports/specialreports/en25/AR-PA_CELandCCP_en25.pdf</w:t>
      </w:r>
    </w:p>
    <w:p w14:paraId="6B308220" w14:textId="77777777" w:rsidR="00826006" w:rsidRDefault="00000000">
      <w:pPr>
        <w:spacing w:line="480" w:lineRule="auto"/>
        <w:ind w:left="720" w:hanging="720"/>
      </w:pPr>
      <w:r>
        <w:rPr>
          <w:rFonts w:eastAsia="Times New Roman"/>
        </w:rPr>
        <w:t xml:space="preserve">Pavolini, E., &amp; Van Lancker, W. (2018). The Matthew effect in childcare use: A matter of policies or preferences? </w:t>
      </w:r>
      <w:r>
        <w:rPr>
          <w:rFonts w:eastAsia="Times New Roman"/>
          <w:i/>
          <w:iCs/>
        </w:rPr>
        <w:t>Journal of European Public Policy, 25</w:t>
      </w:r>
      <w:r>
        <w:rPr>
          <w:rFonts w:eastAsia="Times New Roman"/>
        </w:rPr>
        <w:t>(6), 878–893. https://doi.org/10.1080/13501763.2017.1401108</w:t>
      </w:r>
    </w:p>
    <w:p w14:paraId="3EFCEB3A" w14:textId="77777777" w:rsidR="00826006" w:rsidRDefault="00000000">
      <w:pPr>
        <w:spacing w:line="480" w:lineRule="auto"/>
        <w:ind w:left="720" w:hanging="720"/>
      </w:pPr>
      <w:r>
        <w:rPr>
          <w:rFonts w:eastAsia="Times New Roman"/>
        </w:rPr>
        <w:t xml:space="preserve">Stronach, R. A. E. (2023). How does learning happen? Ontario’s pedagogy of </w:t>
      </w:r>
      <w:proofErr w:type="gramStart"/>
      <w:r>
        <w:rPr>
          <w:rFonts w:eastAsia="Times New Roman"/>
        </w:rPr>
        <w:t>oppression?:</w:t>
      </w:r>
      <w:proofErr w:type="gramEnd"/>
      <w:r>
        <w:rPr>
          <w:rFonts w:eastAsia="Times New Roman"/>
        </w:rPr>
        <w:t xml:space="preserve"> A critical discourse analysis of Ontario’s early years pedagogical framework. </w:t>
      </w:r>
      <w:r>
        <w:rPr>
          <w:rFonts w:eastAsia="Times New Roman"/>
          <w:i/>
          <w:iCs/>
        </w:rPr>
        <w:t>Journal of Childhood Studies, 48</w:t>
      </w:r>
      <w:r>
        <w:rPr>
          <w:rFonts w:eastAsia="Times New Roman"/>
        </w:rPr>
        <w:t>(2), 32–50. https://doi.org/10.18357/jcs482202320982</w:t>
      </w:r>
    </w:p>
    <w:sectPr w:rsidR="00826006">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1AC65C" w14:textId="77777777" w:rsidR="00842FBF" w:rsidRDefault="00842FBF">
      <w:r>
        <w:separator/>
      </w:r>
    </w:p>
  </w:endnote>
  <w:endnote w:type="continuationSeparator" w:id="0">
    <w:p w14:paraId="60E15539" w14:textId="77777777" w:rsidR="00842FBF" w:rsidRDefault="00842F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7F90F1" w14:textId="77777777" w:rsidR="00842FBF" w:rsidRDefault="00842FBF">
      <w:r>
        <w:separator/>
      </w:r>
    </w:p>
  </w:footnote>
  <w:footnote w:type="continuationSeparator" w:id="0">
    <w:p w14:paraId="6E8DADDC" w14:textId="77777777" w:rsidR="00842FBF" w:rsidRDefault="00842F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48833B" w14:textId="77777777" w:rsidR="00826006" w:rsidRDefault="00000000">
    <w:pPr>
      <w:jc w:val="right"/>
    </w:pPr>
    <w:r>
      <w:fldChar w:fldCharType="begin"/>
    </w:r>
    <w:r>
      <w:rPr>
        <w:rFonts w:eastAsia="Times New Roman"/>
      </w:rPr>
      <w:instrText>PAGE</w:instrText>
    </w:r>
    <w:r>
      <w:fldChar w:fldCharType="separate"/>
    </w:r>
    <w:r w:rsidR="00E068FD">
      <w:rPr>
        <w:rFonts w:eastAsia="Times New Roman"/>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1E3FD6"/>
    <w:multiLevelType w:val="hybridMultilevel"/>
    <w:tmpl w:val="857AFCE8"/>
    <w:lvl w:ilvl="0" w:tplc="FC087912">
      <w:start w:val="1"/>
      <w:numFmt w:val="bullet"/>
      <w:lvlText w:val="●"/>
      <w:lvlJc w:val="left"/>
      <w:pPr>
        <w:ind w:left="720" w:hanging="360"/>
      </w:pPr>
    </w:lvl>
    <w:lvl w:ilvl="1" w:tplc="2AA0B7C4">
      <w:start w:val="1"/>
      <w:numFmt w:val="bullet"/>
      <w:lvlText w:val="○"/>
      <w:lvlJc w:val="left"/>
      <w:pPr>
        <w:ind w:left="1440" w:hanging="360"/>
      </w:pPr>
    </w:lvl>
    <w:lvl w:ilvl="2" w:tplc="50CCFAF0">
      <w:start w:val="1"/>
      <w:numFmt w:val="bullet"/>
      <w:lvlText w:val="■"/>
      <w:lvlJc w:val="left"/>
      <w:pPr>
        <w:ind w:left="2160" w:hanging="360"/>
      </w:pPr>
    </w:lvl>
    <w:lvl w:ilvl="3" w:tplc="5E704ED8">
      <w:start w:val="1"/>
      <w:numFmt w:val="bullet"/>
      <w:lvlText w:val="●"/>
      <w:lvlJc w:val="left"/>
      <w:pPr>
        <w:ind w:left="2880" w:hanging="360"/>
      </w:pPr>
    </w:lvl>
    <w:lvl w:ilvl="4" w:tplc="38D47ED0">
      <w:start w:val="1"/>
      <w:numFmt w:val="bullet"/>
      <w:lvlText w:val="○"/>
      <w:lvlJc w:val="left"/>
      <w:pPr>
        <w:ind w:left="3600" w:hanging="360"/>
      </w:pPr>
    </w:lvl>
    <w:lvl w:ilvl="5" w:tplc="5E1EF960">
      <w:start w:val="1"/>
      <w:numFmt w:val="bullet"/>
      <w:lvlText w:val="■"/>
      <w:lvlJc w:val="left"/>
      <w:pPr>
        <w:ind w:left="4320" w:hanging="360"/>
      </w:pPr>
    </w:lvl>
    <w:lvl w:ilvl="6" w:tplc="9D36A132">
      <w:start w:val="1"/>
      <w:numFmt w:val="bullet"/>
      <w:lvlText w:val="●"/>
      <w:lvlJc w:val="left"/>
      <w:pPr>
        <w:ind w:left="5040" w:hanging="360"/>
      </w:pPr>
    </w:lvl>
    <w:lvl w:ilvl="7" w:tplc="9DC2B226">
      <w:start w:val="1"/>
      <w:numFmt w:val="bullet"/>
      <w:lvlText w:val="●"/>
      <w:lvlJc w:val="left"/>
      <w:pPr>
        <w:ind w:left="5760" w:hanging="360"/>
      </w:pPr>
    </w:lvl>
    <w:lvl w:ilvl="8" w:tplc="EB8AA85E">
      <w:start w:val="1"/>
      <w:numFmt w:val="bullet"/>
      <w:lvlText w:val="●"/>
      <w:lvlJc w:val="left"/>
      <w:pPr>
        <w:ind w:left="6480" w:hanging="360"/>
      </w:pPr>
    </w:lvl>
  </w:abstractNum>
  <w:num w:numId="1" w16cid:durableId="157157602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006"/>
    <w:rsid w:val="001B5F58"/>
    <w:rsid w:val="003D6869"/>
    <w:rsid w:val="0063476F"/>
    <w:rsid w:val="00826006"/>
    <w:rsid w:val="00842FBF"/>
    <w:rsid w:val="00A43DCD"/>
    <w:rsid w:val="00E02910"/>
    <w:rsid w:val="00E068FD"/>
    <w:rsid w:val="00F626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A6F9CA8"/>
  <w15:docId w15:val="{4D4E4391-B265-F940-A4B3-A42C2AA1D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2387</Words>
  <Characters>13611</Characters>
  <Application>Microsoft Office Word</Application>
  <DocSecurity>0</DocSecurity>
  <Lines>113</Lines>
  <Paragraphs>31</Paragraphs>
  <ScaleCrop>false</ScaleCrop>
  <Company/>
  <LinksUpToDate>false</LinksUpToDate>
  <CharactersWithSpaces>15967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Jiecheng Yang</cp:lastModifiedBy>
  <cp:revision>2</cp:revision>
  <dcterms:created xsi:type="dcterms:W3CDTF">2026-10-23T01:34:00Z</dcterms:created>
  <dcterms:modified xsi:type="dcterms:W3CDTF">2026-10-23T01:34:00Z</dcterms:modified>
</cp:coreProperties>
</file>