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276E7">
      <w:pPr>
        <w:spacing w:line="480" w:lineRule="auto"/>
        <w:jc w:val="center"/>
      </w:pPr>
    </w:p>
    <w:p w14:paraId="1B43AD07">
      <w:pPr>
        <w:spacing w:line="480" w:lineRule="auto"/>
        <w:jc w:val="center"/>
      </w:pPr>
    </w:p>
    <w:p w14:paraId="6444411E">
      <w:pPr>
        <w:spacing w:line="480" w:lineRule="auto"/>
        <w:jc w:val="center"/>
      </w:pPr>
    </w:p>
    <w:p w14:paraId="436F6287">
      <w:pPr>
        <w:spacing w:line="480" w:lineRule="auto"/>
        <w:jc w:val="center"/>
      </w:pPr>
    </w:p>
    <w:p w14:paraId="45B9C1DB">
      <w:pPr>
        <w:spacing w:line="480" w:lineRule="auto"/>
        <w:jc w:val="center"/>
        <w:rPr>
          <w:b/>
          <w:bCs/>
        </w:rPr>
      </w:pPr>
      <w:r>
        <w:rPr>
          <w:rFonts w:eastAsia="Times New Roman"/>
          <w:b/>
          <w:bCs/>
        </w:rPr>
        <w:t>Critical Response 1</w:t>
      </w:r>
    </w:p>
    <w:p w14:paraId="79AE427D">
      <w:pPr>
        <w:spacing w:line="480" w:lineRule="auto"/>
        <w:jc w:val="center"/>
      </w:pPr>
      <w:r>
        <w:rPr>
          <w:rFonts w:eastAsia="Times New Roman"/>
        </w:rPr>
        <w:t>Jiecheng Yang</w:t>
      </w:r>
    </w:p>
    <w:p w14:paraId="33B33759">
      <w:pPr>
        <w:spacing w:line="480" w:lineRule="auto"/>
        <w:jc w:val="center"/>
      </w:pPr>
      <w:r>
        <w:rPr>
          <w:rFonts w:eastAsia="Times New Roman"/>
        </w:rPr>
        <w:t>George Brown Polytechnic</w:t>
      </w:r>
    </w:p>
    <w:p w14:paraId="5204EF8D">
      <w:pPr>
        <w:spacing w:line="480" w:lineRule="auto"/>
        <w:jc w:val="center"/>
      </w:pPr>
      <w:r>
        <w:rPr>
          <w:rFonts w:eastAsia="Times New Roman"/>
        </w:rPr>
        <w:t>Honours Bachelor of Early Childhood Leadership</w:t>
      </w:r>
    </w:p>
    <w:p w14:paraId="51E94EE1">
      <w:pPr>
        <w:spacing w:line="480" w:lineRule="auto"/>
        <w:jc w:val="center"/>
      </w:pPr>
      <w:r>
        <w:rPr>
          <w:rFonts w:eastAsia="Times New Roman"/>
        </w:rPr>
        <w:t>LSSC1319: Global Justice</w:t>
      </w:r>
    </w:p>
    <w:p w14:paraId="4F963A9C">
      <w:pPr>
        <w:spacing w:line="480" w:lineRule="auto"/>
        <w:jc w:val="center"/>
      </w:pPr>
      <w:r>
        <w:rPr>
          <w:rFonts w:eastAsia="Times New Roman"/>
        </w:rPr>
        <w:t>Professor: Mohamed Duale</w:t>
      </w:r>
    </w:p>
    <w:p w14:paraId="6059E13B">
      <w:pPr>
        <w:spacing w:line="480" w:lineRule="auto"/>
        <w:jc w:val="center"/>
      </w:pPr>
      <w:r>
        <w:rPr>
          <w:rFonts w:eastAsia="Times New Roman"/>
        </w:rPr>
        <w:t>Due Date: October 18, 2026</w:t>
      </w:r>
    </w:p>
    <w:p w14:paraId="3162D270">
      <w:pPr>
        <w:spacing w:line="480" w:lineRule="auto"/>
        <w:jc w:val="center"/>
      </w:pPr>
    </w:p>
    <w:p w14:paraId="59B47B60">
      <w:r>
        <w:br w:type="page"/>
      </w:r>
    </w:p>
    <w:p w14:paraId="242D38EA">
      <w:pPr>
        <w:spacing w:line="480" w:lineRule="auto"/>
        <w:jc w:val="center"/>
        <w:rPr>
          <w:b/>
          <w:bCs/>
        </w:rPr>
      </w:pPr>
      <w:r>
        <w:rPr>
          <w:rFonts w:eastAsia="Times New Roman"/>
          <w:b/>
          <w:bCs/>
        </w:rPr>
        <w:t>Recognition Without Restitution: A Critical Response</w:t>
      </w:r>
    </w:p>
    <w:p w14:paraId="6B0EFDC0">
      <w:pPr>
        <w:widowControl/>
        <w:spacing w:after="40" w:line="240" w:lineRule="auto"/>
        <w:ind w:firstLine="720"/>
      </w:pPr>
      <w:r>
        <w:rPr>
          <w:rFonts w:eastAsia="Times New Roman"/>
        </w:rPr>
        <w:t xml:space="preserve">The documentary </w:t>
      </w:r>
      <w:r>
        <w:rPr>
          <w:rFonts w:eastAsia="Times New Roman"/>
          <w:i/>
          <w:iCs/>
        </w:rPr>
        <w:t>Canada’s Shame: Residential Schools, Unmarked Graves and the Search for Justice</w:t>
      </w:r>
      <w:r>
        <w:rPr>
          <w:rFonts w:eastAsia="Times New Roman"/>
        </w:rPr>
        <w:t xml:space="preserve"> (Al Jazeera English, 2024) follows survivors, search teams, and officials confronting the schools’ legacy. Reading it with Duhamel et al. (2024), I examine two issues: the gap between symbolic recognition and structural change, and child welfare as a continuation of the schools rather than a legacy. I argue that when the state keeps the power to measure progress, allocate resources, and carry out repair, recognition cannot demonstrate reconciliation.</w:t>
      </w:r>
    </w:p>
    <w:p w14:paraId="29E5D9CA">
      <w:pPr>
        <w:widowControl/>
        <w:spacing w:after="40" w:line="240" w:lineRule="auto"/>
        <w:ind w:firstLine="720"/>
      </w:pPr>
      <w:r>
        <w:rPr>
          <w:rFonts w:eastAsia="Times New Roman"/>
        </w:rPr>
        <w:t xml:space="preserve">The first issue is how easily recognition substitutes for action. Parliament unanimously acknowledged genocide in 2022 (Al Jazeera English, 2024, 4:01), yet of 94 Calls to Action only 13 were complete eight years later (16:39). British Columbia’s minister insists “you can’t manage something if you don’t measure it” (17:50), but an Indigenous interviewee notes “the government of Canada doesn’t want to count what it could be held accountable for” (7:18). Duhamel et al. (2024) name two traps. Institutional reconciliation turns symbolic without shifting power: “co-optation, commodification, and performative applications” (p. 11). A second treats reconciliation as a finishable task that “absolves state actors or citizens of responsibility to act once reconciliation has been ‘achieved’” (p. 10). In the film, that task is the 94-item checklist, as if reconciliation ends when the list does. Counting completed actions, however, can conceal which ones matter. The Yellowhead Institute tally Duhamel et al. cite shows </w:t>
      </w:r>
      <w:r>
        <w:rPr>
          <w:rFonts w:hint="eastAsia" w:eastAsia="宋体"/>
          <w:lang w:val="en-US" w:eastAsia="zh-CN"/>
        </w:rPr>
        <w:t>tha</w:t>
      </w:r>
      <w:r>
        <w:rPr>
          <w:rFonts w:hint="default" w:eastAsia="宋体"/>
          <w:lang w:val="en-US" w:eastAsia="zh-CN"/>
        </w:rPr>
        <w:t>t “</w:t>
      </w:r>
      <w:r>
        <w:rPr>
          <w:rFonts w:hint="eastAsia" w:eastAsia="Times New Roman"/>
        </w:rPr>
        <w:t>most of those completed focus on symbolic gain</w:t>
      </w:r>
      <w:r>
        <w:rPr>
          <w:rFonts w:hint="default" w:eastAsia="Times New Roman"/>
          <w:lang w:val="en-US"/>
        </w:rPr>
        <w:t>”</w:t>
      </w:r>
      <w:r>
        <w:rPr>
          <w:rFonts w:eastAsia="Times New Roman"/>
        </w:rPr>
        <w:t xml:space="preserve"> (p. 13).</w:t>
      </w:r>
      <w:bookmarkStart w:id="0" w:name="_GoBack"/>
      <w:bookmarkEnd w:id="0"/>
    </w:p>
    <w:p w14:paraId="173DF997">
      <w:pPr>
        <w:widowControl/>
        <w:spacing w:after="40" w:line="240" w:lineRule="auto"/>
        <w:ind w:firstLine="720"/>
      </w:pPr>
      <w:r>
        <w:rPr>
          <w:rFonts w:eastAsia="Times New Roman"/>
        </w:rPr>
        <w:t>The second issue is child welfare. More Indigenous children are in state care today than at the schools’ height, and cited research put funding at roughly 30 percent less (Al Jazeera English, 2024, 6:48). The schools closed, but the power to remove Indigenous children did not. One speaker describes a closed circuit. Communities lost children for a century, received less help to recover, and are now judged as failing parents, so the state removes their children “again, even at higher rates” (19:47). Duhamel et al. (2024) insist reconciliation “must be about structural change” (p. 11), and Gaywish sets the bar: “We can’t have reconciliation until there’s restitution” (p. 18). Fayant warns that most reconciliation work is “for non-Indigenous or for settler Canadians” (p. 12). In my reading, the funding gap is Gaywish’s restitution left unpaid, and it bears out Fayant’s warning: apologies settle settler conscience while an underfunded system continues the removal.</w:t>
      </w:r>
    </w:p>
    <w:p w14:paraId="2FB82797">
      <w:pPr>
        <w:widowControl/>
        <w:spacing w:after="40" w:line="240" w:lineRule="auto"/>
        <w:ind w:firstLine="720"/>
      </w:pPr>
      <w:r>
        <w:rPr>
          <w:rFonts w:eastAsia="Times New Roman"/>
        </w:rPr>
        <w:t>The film’s sharpest contribution is showing where resurgence is not enough. Fayant insists language revitalization does not wait for permission: “that isn’t going to stop me from re-learning my language” (p. 17). The survivor-led searches embody this ethic of “lifting each other up” (p. 15), yet they reveal an asymmetry. Communities can begin repair on their own authority, but radar work needs funding and institutions the state controls. “To get them home,” one guide at the Mohawk Institute says, “we need resources and we need the will of the federal government” (Al Jazeera English, 2024, 22:26). The film separates the agency to begin repair, which communities hold, from the capacity to complete it, which still depends on the state that caused the harm. This resilience is real, but it cannot substitute for state accountability. Language can be relearned without approval. Children cannot be brought home without resources.</w:t>
      </w:r>
    </w:p>
    <w:p w14:paraId="03EE3A96">
      <w:pPr>
        <w:widowControl/>
        <w:spacing w:after="40" w:line="240" w:lineRule="auto"/>
        <w:ind w:firstLine="720"/>
      </w:pPr>
      <w:r>
        <w:rPr>
          <w:rFonts w:eastAsia="Times New Roman"/>
        </w:rPr>
        <w:t>The article names the limits of institutional reconciliation, and the film shows where they bind. Recognition does not necessarily produce restitution, and without it, recognition risks becoming settler self-absolution. Its true measure is not apologies issued but whether children come home, and the question is who holds the power to turn recognition into restitution.</w:t>
      </w:r>
    </w:p>
    <w:p w14:paraId="5218579A">
      <w:pPr>
        <w:pageBreakBefore/>
        <w:spacing w:line="480" w:lineRule="auto"/>
        <w:jc w:val="center"/>
        <w:rPr>
          <w:b/>
          <w:bCs/>
        </w:rPr>
      </w:pPr>
      <w:r>
        <w:rPr>
          <w:rFonts w:eastAsia="Times New Roman"/>
          <w:b/>
          <w:bCs/>
        </w:rPr>
        <w:t>References</w:t>
      </w:r>
    </w:p>
    <w:p w14:paraId="5C93A309">
      <w:pPr>
        <w:widowControl/>
        <w:spacing w:line="480" w:lineRule="auto"/>
        <w:ind w:left="720" w:hanging="720"/>
      </w:pPr>
      <w:r>
        <w:rPr>
          <w:rFonts w:eastAsia="Times New Roman"/>
        </w:rPr>
        <w:t xml:space="preserve">Duhamel, K., Grafton, E., Gaywish, R., Schuler, P., &amp; Fayant, R. (2024). “There’s no word in my language for reconciliation”: Challenging the settler appropriation of the discourse of reconciliation. </w:t>
      </w:r>
      <w:r>
        <w:rPr>
          <w:rFonts w:eastAsia="Times New Roman"/>
          <w:i/>
          <w:iCs/>
        </w:rPr>
        <w:t>Journal of Critical Race, Indigeneity, and Decolonization, 1</w:t>
      </w:r>
      <w:r>
        <w:rPr>
          <w:rFonts w:eastAsia="Times New Roman"/>
        </w:rPr>
        <w:t>(1), 6–23. https://doi.org/10.22329/jcrid.v1i1.7983</w:t>
      </w:r>
    </w:p>
    <w:p w14:paraId="5B64BBE6">
      <w:pPr>
        <w:widowControl/>
        <w:spacing w:line="480" w:lineRule="auto"/>
        <w:ind w:left="720" w:hanging="720"/>
      </w:pPr>
      <w:r>
        <w:rPr>
          <w:rFonts w:eastAsia="Times New Roman"/>
        </w:rPr>
        <w:t xml:space="preserve">Al Jazeera English. (2024, </w:t>
      </w:r>
      <w:r>
        <w:rPr>
          <w:rFonts w:eastAsia="Times New Roman"/>
          <w:highlight w:val="yellow"/>
        </w:rPr>
        <w:t xml:space="preserve">Month Day</w:t>
      </w:r>
      <w:r>
        <w:rPr>
          <w:rFonts w:eastAsia="Times New Roman"/>
        </w:rPr>
        <w:t xml:space="preserve">). </w:t>
      </w:r>
      <w:r>
        <w:rPr>
          <w:rFonts w:eastAsia="Times New Roman"/>
          <w:i/>
          <w:iCs/>
        </w:rPr>
        <w:t xml:space="preserve">Canada’s shame: Residential schools, unmarked graves and the search for justice</w:t>
      </w:r>
      <w:r>
        <w:rPr>
          <w:rFonts w:eastAsia="Times New Roman"/>
        </w:rPr>
        <w:t xml:space="preserve"> [Video]. YouTube. https://www.youtube.com/watch?v=qi0VgNPprnE</w:t>
      </w:r>
    </w:p>
    <w:sectPr>
      <w:headerReference r:id="rId3" w:type="default"/>
      <w:pgSz w:w="12240" w:h="15840"/>
      <w:pgMar w:top="1440" w:right="1440" w:bottom="1440" w:left="144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320EB">
    <w:pPr>
      <w:jc w:val="right"/>
    </w:pPr>
    <w:r>
      <w:fldChar w:fldCharType="begin"/>
    </w:r>
    <w:r>
      <w:rPr>
        <w:rFonts w:eastAsia="Times New Roman"/>
      </w:rPr>
      <w:instrText xml:space="preserve">PAGE</w:instrText>
    </w:r>
    <w:r>
      <w:fldChar w:fldCharType="separate"/>
    </w:r>
    <w:r>
      <w:rPr>
        <w:rFonts w:eastAsia="Times New Roma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E27"/>
    <w:rsid w:val="000966AA"/>
    <w:rsid w:val="001458C2"/>
    <w:rsid w:val="001C7C6A"/>
    <w:rsid w:val="00377F6A"/>
    <w:rsid w:val="0056509C"/>
    <w:rsid w:val="006612A3"/>
    <w:rsid w:val="008418DA"/>
    <w:rsid w:val="0086656A"/>
    <w:rsid w:val="00B31EAE"/>
    <w:rsid w:val="00D8032B"/>
    <w:rsid w:val="00DF1EF7"/>
    <w:rsid w:val="00F205C6"/>
    <w:rsid w:val="00F32E27"/>
    <w:rsid w:val="3BF17D60"/>
    <w:rsid w:val="44735770"/>
    <w:rsid w:val="5FFFE901"/>
    <w:rsid w:val="796C0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0"/>
    <w:semiHidden/>
    <w:unhideWhenUsed/>
    <w:qFormat/>
    <w:uiPriority w:val="99"/>
    <w:rPr>
      <w:rFonts w:ascii="Times New Roman" w:hAnsi="Times New Roman" w:cs="Times New Roman" w:eastAsiaTheme="minorEastAsia"/>
      <w:lang w:val="en-US" w:eastAsia="zh-CN" w:bidi="ar-SA"/>
    </w:rPr>
  </w:style>
  <w:style w:type="paragraph" w:styleId="9">
    <w:name w:val="footer"/>
    <w:basedOn w:val="1"/>
    <w:semiHidden/>
    <w:unhideWhenUsed/>
    <w:uiPriority w:val="99"/>
    <w:pPr>
      <w:tabs>
        <w:tab w:val="center" w:pos="4153"/>
        <w:tab w:val="right" w:pos="8306"/>
      </w:tabs>
      <w:snapToGrid w:val="0"/>
    </w:pPr>
    <w:rPr>
      <w:sz w:val="18"/>
    </w:rPr>
  </w:style>
  <w:style w:type="paragraph" w:styleId="10">
    <w:name w:val="footnote text"/>
    <w:link w:val="19"/>
    <w:semiHidden/>
    <w:unhideWhenUsed/>
    <w:qFormat/>
    <w:uiPriority w:val="99"/>
    <w:rPr>
      <w:rFonts w:ascii="Times New Roman" w:hAnsi="Times New Roman" w:cs="Times New Roman" w:eastAsiaTheme="minorEastAsia"/>
      <w:lang w:val="en-US" w:eastAsia="zh-CN" w:bidi="ar-SA"/>
    </w:rPr>
  </w:style>
  <w:style w:type="paragraph" w:styleId="11">
    <w:name w:val="Title"/>
    <w:qFormat/>
    <w:uiPriority w:val="10"/>
    <w:rPr>
      <w:rFonts w:ascii="Times New Roman" w:hAnsi="Times New Roman" w:cs="Times New Roman" w:eastAsiaTheme="minorEastAsia"/>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customStyle="1" w:styleId="17">
    <w:name w:val="要点1"/>
    <w:qFormat/>
    <w:uiPriority w:val="0"/>
    <w:rPr>
      <w:rFonts w:ascii="Times New Roman" w:hAnsi="Times New Roman" w:cs="Times New Roman" w:eastAsiaTheme="minorEastAsia"/>
      <w:b/>
      <w:bCs/>
      <w:sz w:val="24"/>
      <w:szCs w:val="24"/>
      <w:lang w:val="en-US" w:eastAsia="zh-CN" w:bidi="ar-SA"/>
    </w:rPr>
  </w:style>
  <w:style w:type="paragraph" w:styleId="18">
    <w:name w:val="List Paragraph"/>
    <w:qFormat/>
    <w:uiPriority w:val="0"/>
    <w:rPr>
      <w:rFonts w:ascii="Times New Roman" w:hAnsi="Times New Roman" w:cs="Times New Roman" w:eastAsiaTheme="minorEastAsia"/>
      <w:sz w:val="24"/>
      <w:szCs w:val="24"/>
      <w:lang w:val="en-US" w:eastAsia="zh-CN" w:bidi="ar-SA"/>
    </w:rPr>
  </w:style>
  <w:style w:type="character" w:customStyle="1" w:styleId="19">
    <w:name w:val="脚注文本 字符"/>
    <w:link w:val="10"/>
    <w:semiHidden/>
    <w:unhideWhenUsed/>
    <w:qFormat/>
    <w:uiPriority w:val="99"/>
    <w:rPr>
      <w:sz w:val="20"/>
      <w:szCs w:val="20"/>
    </w:rPr>
  </w:style>
  <w:style w:type="character" w:customStyle="1" w:styleId="20">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541</Words>
  <Characters>3087</Characters>
  <Lines>25</Lines>
  <Paragraphs>7</Paragraphs>
  <TotalTime>11</TotalTime>
  <ScaleCrop>false</ScaleCrop>
  <LinksUpToDate>false</LinksUpToDate>
  <CharactersWithSpaces>3621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2026-09-26T20:36:00Z</dcterms:created>
  <dc:creator>Un-named</dc:creator>
  <cp:lastModifiedBy>Jay</cp:lastModifiedBy>
  <dcterms:modified xsi:type="dcterms:W3CDTF">2026-10-11T23:47:12Z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eyJoZGlkIjoiYmVjNjNlOTIxNTRkNDg4NGVlMDYyYzNkOTM0ZDY4YzgiLCJ1c2VySWQiOiIyOTgyMzY4MjkifQ==</vt:lpwstr>
  </property>
  <property fmtid="{D5CDD505-2E9C-101B-9397-08002B2CF9AE}" pid="3" name="KSOProductBuildVer">
    <vt:lpwstr>2052-12.1.28496.28496</vt:lpwstr>
  </property>
  <property fmtid="{D5CDD505-2E9C-101B-9397-08002B2CF9AE}" pid="4" name="ICV">
    <vt:lpwstr>A779AA30F98E4665AD22E366D93D647E_13</vt:lpwstr>
  </property>
</Properties>
</file>