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4426A4" w14:textId="77777777" w:rsidR="00826006" w:rsidRDefault="00826006">
      <w:pPr>
        <w:spacing w:line="480" w:lineRule="auto"/>
      </w:pPr>
    </w:p>
    <w:p w14:paraId="0F8B38F3" w14:textId="77777777" w:rsidR="00826006" w:rsidRDefault="00826006">
      <w:pPr>
        <w:spacing w:line="480" w:lineRule="auto"/>
      </w:pPr>
    </w:p>
    <w:p w14:paraId="6B146DCF" w14:textId="77777777" w:rsidR="00826006" w:rsidRDefault="00826006">
      <w:pPr>
        <w:spacing w:line="480" w:lineRule="auto"/>
      </w:pPr>
    </w:p>
    <w:p w14:paraId="09C58C7F" w14:textId="77777777" w:rsidR="00826006" w:rsidRDefault="00000000">
      <w:pPr>
        <w:spacing w:line="480" w:lineRule="auto"/>
        <w:jc w:val="center"/>
      </w:pPr>
      <w:r>
        <w:rPr>
          <w:rFonts w:eastAsia="Times New Roman"/>
          <w:b/>
          <w:bCs/>
        </w:rPr>
        <w:t>Lower Fees, Uneven Participation in Alberta and Ontario</w:t>
      </w:r>
    </w:p>
    <w:p w14:paraId="7AABA5FF" w14:textId="77777777" w:rsidR="00826006" w:rsidRDefault="00826006">
      <w:pPr>
        <w:spacing w:line="480" w:lineRule="auto"/>
      </w:pPr>
    </w:p>
    <w:p w14:paraId="27F6CB64" w14:textId="77777777" w:rsidR="00826006" w:rsidRDefault="00000000">
      <w:pPr>
        <w:spacing w:line="480" w:lineRule="auto"/>
        <w:jc w:val="center"/>
      </w:pPr>
      <w:r>
        <w:rPr>
          <w:rFonts w:eastAsia="Times New Roman"/>
        </w:rPr>
        <w:t>October 19, 2026</w:t>
      </w:r>
    </w:p>
    <w:p w14:paraId="41E5843C" w14:textId="77777777" w:rsidR="00826006" w:rsidRDefault="00000000">
      <w:r>
        <w:br w:type="page"/>
      </w:r>
    </w:p>
    <w:p w14:paraId="1D0EC186" w14:textId="77777777" w:rsidR="00826006" w:rsidRDefault="00000000">
      <w:pPr>
        <w:spacing w:line="480" w:lineRule="auto"/>
        <w:jc w:val="center"/>
      </w:pPr>
      <w:r>
        <w:rPr>
          <w:rFonts w:eastAsia="Times New Roman"/>
          <w:b/>
          <w:bCs/>
        </w:rPr>
        <w:lastRenderedPageBreak/>
        <w:t>Lower Fees, Uneven Participation in Alberta and Ontario</w:t>
      </w:r>
    </w:p>
    <w:p w14:paraId="5A22EF58" w14:textId="77777777" w:rsidR="00826006" w:rsidRDefault="00000000">
      <w:pPr>
        <w:spacing w:line="480" w:lineRule="auto"/>
        <w:ind w:firstLine="720"/>
      </w:pPr>
      <w:r>
        <w:rPr>
          <w:rFonts w:eastAsia="Times New Roman"/>
        </w:rPr>
        <w:t xml:space="preserve">The Canada-Wide Early Learning and Child Care (CWELCC) initiative has expanded public responsibility for childcare costs, but provinces have made different choices about distributing that support. This report compares Alberta and Ontario through Focus (a), financing CWELCC implementation. Affordability concerns fees relative to family resources. Accessibility concerns available, suitable places. Equitable participation concerns who actually uses care. I argue that both provinces fund lower fees through a mixed-provider system, but differ substantially in protecting low-income families. Alberta combines standardized fees with the removal of its younger-child income-tested subsidy, whereas Ontario retains targeted assistance alongside capped fees. Ontario should learn from Alberta’s fee clarity while protecting targeted support and connecting public funding to equitable access. Newcomer families serve as one example of how families can qualify for support without being able to use it.</w:t>
      </w:r>
    </w:p>
    <w:p w14:paraId="0944EF9E" w14:textId="77777777" w:rsidR="00826006" w:rsidRDefault="00000000">
      <w:pPr>
        <w:spacing w:line="480" w:lineRule="auto"/>
        <w:jc w:val="center"/>
      </w:pPr>
      <w:r>
        <w:rPr>
          <w:rFonts w:eastAsia="Times New Roman"/>
          <w:b/>
          <w:bCs/>
        </w:rPr>
        <w:t>Alberta’s ECEC Context</w:t>
      </w:r>
    </w:p>
    <w:p w14:paraId="34A94269" w14:textId="77777777" w:rsidR="00826006" w:rsidRDefault="00000000">
      <w:pPr>
        <w:spacing w:line="480" w:lineRule="auto"/>
        <w:ind w:firstLine="720"/>
      </w:pPr>
      <w:r>
        <w:rPr>
          <w:rFonts w:eastAsia="Times New Roman"/>
        </w:rPr>
        <w:t xml:space="preserve">Alberta’s licensed childcare system includes daycare, family day homes, preschool and out-of-school care. Its financing choices reflect a long debate over whether childcare is a private responsibility or a public service (Langford, 2011). Alberta signed a $3.8-billion federal-provincial agreement in November 2021. Since April 2025, participating daycare and family day home programs have charged eligible families $326.25 monthly for full-time care and $230 for part-time care (Government of Alberta, 2026a). The federal government later announced more than $1.17 billion for 2026–27, extending the agreements to March 31, 2027 (Employment and Social Development Canada [ESDC], 2025). Alberta therefore offers a clear base fee, but its funding beyond that date remains uncertain.</w:t>
      </w:r>
    </w:p>
    <w:p w14:paraId="5C6590F5" w14:textId="77777777" w:rsidR="00826006" w:rsidRDefault="00000000">
      <w:pPr>
        <w:spacing w:line="480" w:lineRule="auto"/>
        <w:jc w:val="center"/>
      </w:pPr>
      <w:r>
        <w:rPr>
          <w:rFonts w:eastAsia="Times New Roman"/>
          <w:b/>
          <w:bCs/>
        </w:rPr>
        <w:t>Similarities With Ontario</w:t>
      </w:r>
    </w:p>
    <w:p w14:paraId="3F76E68A" w14:textId="77777777" w:rsidR="00826006" w:rsidRDefault="00000000">
      <w:pPr>
        <w:spacing w:line="480" w:lineRule="auto"/>
        <w:ind w:firstLine="720"/>
      </w:pPr>
      <w:r>
        <w:rPr>
          <w:rFonts w:eastAsia="Times New Roman"/>
        </w:rPr>
        <w:t xml:space="preserve">Both provinces use public operating funding to reduce eligible parent fees without replacing their mixed-provider systems. Alberta’s Affordability Grant supports participating operators, while Ontario administers CWELCC funding through local service system managers. Ontario capped eligible fees at $22 daily in January 2025, producing a reported provincial average of $19. Its September 2026 agreement extended federal funding for four years and committed to keeping that average until June 30, 2027 (ESDC, 2026). Both systems reduce eligible fees through providers, so parents do not need a separate application for the general CWELCC reduction.</w:t>
      </w:r>
    </w:p>
    <w:p w14:paraId="4F770650" w14:textId="77777777" w:rsidR="00826006" w:rsidRDefault="00000000">
      <w:pPr>
        <w:spacing w:line="480" w:lineRule="auto"/>
        <w:ind w:firstLine="720"/>
      </w:pPr>
      <w:r>
        <w:rPr>
          <w:rFonts w:eastAsia="Times New Roman"/>
        </w:rPr>
        <w:t xml:space="preserve">Public financing, however, does not by itself determine quality or equitable access. Cleveland and Krashinsky (2009) found a nonprofit quality advantage that varied with local market conditions, so provider incentives matter. Stronach’s (2023) critique of Ontario’s pedagogical framework shows that quality commitments can coexist with poor pay and working conditions for educators. Financing implementation therefore involves what operating funding sustains, as well as what parents pay.</w:t>
      </w:r>
    </w:p>
    <w:p w14:paraId="2439FE29" w14:textId="77777777" w:rsidR="00826006" w:rsidRDefault="00000000">
      <w:pPr>
        <w:spacing w:line="480" w:lineRule="auto"/>
        <w:ind w:firstLine="720"/>
      </w:pPr>
      <w:r>
        <w:rPr>
          <w:rFonts w:eastAsia="Times New Roman"/>
        </w:rPr>
        <w:t xml:space="preserve">This comparison connects to Week 2’s distinction between systems and programs: funding and governance operate at the system level, while families experience them through individual programs (Kim, 2026a, slide 13). Lowering a program’s fee does not automatically create a suitable vacancy. Dhuey (2024) likewise argues that Canadian investment must attend to quality and low-income families, not expansion alone.</w:t>
      </w:r>
    </w:p>
    <w:p w14:paraId="5FD82F3A" w14:textId="77777777" w:rsidR="00826006" w:rsidRDefault="00000000">
      <w:pPr>
        <w:spacing w:line="480" w:lineRule="auto"/>
        <w:jc w:val="center"/>
      </w:pPr>
      <w:r>
        <w:rPr>
          <w:rFonts w:eastAsia="Times New Roman"/>
          <w:b/>
          <w:bCs/>
        </w:rPr>
        <w:lastRenderedPageBreak/>
        <w:t>Main Differences</w:t>
      </w:r>
    </w:p>
    <w:p w14:paraId="0398B717" w14:textId="77777777" w:rsidR="00826006" w:rsidRDefault="00000000">
      <w:pPr>
        <w:spacing w:line="480" w:lineRule="auto"/>
        <w:ind w:firstLine="720"/>
      </w:pPr>
      <w:r>
        <w:rPr>
          <w:rFonts w:eastAsia="Times New Roman"/>
        </w:rPr>
        <w:t xml:space="preserve">The clearest difference concerns the distribution of remaining parent costs. Alberta’s standardized fee is not income-tested. Its April 2025 change removed the younger-child income-tested subsidy. Income-tested assistance remains only for eligible out-of-school care from full-time kindergarten to Grade 6 (Child Care Now, 2025; Government of Alberta, 2026b). Child Care Now (2025) warned that families previously paying below the new flat fee would face increases. A policy can therefore lower fees overall while raising costs for some families who previously received more help.</w:t>
      </w:r>
    </w:p>
    <w:p w14:paraId="14B499DE" w14:textId="77777777" w:rsidR="00826006" w:rsidRDefault="00000000">
      <w:pPr>
        <w:spacing w:line="480" w:lineRule="auto"/>
        <w:ind w:firstLine="720"/>
      </w:pPr>
      <w:r>
        <w:rPr>
          <w:rFonts w:eastAsia="Times New Roman"/>
        </w:rPr>
        <w:t xml:space="preserve">Ontario retained its income-tested subsidy alongside CWELCC fee reductions. This offers extra protection, but eligibility does not guarantee admission. The Auditor General reported about 51,300 children under six receiving full or partial subsidies in 2023, 31% fewer than in 2019 (Office of the Auditor General of Ontario, 2025, p. 22). These counts do not measure all low-income participation or isolate CWELCC’s causal effect. Still, the decline deserves investigation because assistance has not stopped falling enrolment among recipients.</w:t>
      </w:r>
    </w:p>
    <w:p w14:paraId="6F7F8913" w14:textId="77777777" w:rsidR="00826006" w:rsidRDefault="00000000">
      <w:pPr>
        <w:spacing w:line="480" w:lineRule="auto"/>
        <w:ind w:firstLine="720"/>
      </w:pPr>
      <w:r>
        <w:rPr>
          <w:rFonts w:eastAsia="Times New Roman"/>
        </w:rPr>
        <w:t xml:space="preserve">Pavolini and Van Lancker’s (2018) European research shows that limited childcare provision can disproportionately restrict disadvantaged children’s participation. It raises questions for Ontario’s evaluation but does not prove why Ontario’s subsidy enrolment declined.</w:t>
      </w:r>
    </w:p>
    <w:p w14:paraId="0ABA9D49" w14:textId="77777777" w:rsidR="00826006" w:rsidRDefault="00000000">
      <w:pPr>
        <w:spacing w:line="480" w:lineRule="auto"/>
        <w:ind w:firstLine="720"/>
      </w:pPr>
      <w:r>
        <w:rPr>
          <w:rFonts w:eastAsia="Times New Roman"/>
        </w:rPr>
        <w:t xml:space="preserve">The provinces also differ in administrative requirements and fee predictability. Alberta publishes a standard eligible fee by attendance band. Ontario’s general reduction is also automatic, but its additional subsidy requires a locally administered income assessment (Government of Ontario, n.d.). Carbuccia et al.’s (2026) French trial found that personalized assistance reduced socioeconomic and migration gaps in applications, with limited effects on actual access. Its results cannot transfer directly to Ontario, but it shows why successful applications and successful admission should be measured separately.</w:t>
      </w:r>
    </w:p>
    <w:p w14:paraId="3430A4E7" w14:textId="77777777" w:rsidR="00826006" w:rsidRDefault="00000000">
      <w:pPr>
        <w:spacing w:line="480" w:lineRule="auto"/>
        <w:ind w:firstLine="720"/>
      </w:pPr>
      <w:r>
        <w:rPr>
          <w:rFonts w:eastAsia="Times New Roman"/>
        </w:rPr>
        <w:t xml:space="preserve">Newcomer families illustrate why financial eligibility, practical accessibility and actual participation should be examined separately, although newcomer status is not the same as low income. Awareness comes first. Of 1,341 parents surveyed in four provinces, including Alberta and Ontario, 72.18% had heard of CWELCC, but only 18.49% referred to its implementation (Burns et al., 2025, p. 73). That study did not analyze newcomer families separately. In United States studies with immigrant and refugee families, some parents who had heard of subsidies assumed they were ineligible (Heinz, Bell, et al., 2025, p. 398). Others who were told they were ineligible under earlier income limits did not apply again (Heinz, Nava, et al., 2025, pp. 4–5). These findings cannot transfer directly to Canada, but they show how eligibility can fail to become use. In both provinces, the general reduction is paid through operators and needs no family action. Ontario’s subsidy, however, reaches families only after they apply to a service system manager, and Alberta’s 2025 change requires families to learn which assistance still applies.</w:t>
      </w:r>
    </w:p>
    <w:p w14:paraId="49331247" w14:textId="77777777" w:rsidR="00826006" w:rsidRDefault="00000000">
      <w:pPr>
        <w:spacing w:line="480" w:lineRule="auto"/>
        <w:ind w:firstLine="720"/>
      </w:pPr>
      <w:r>
        <w:rPr>
          <w:rFonts w:eastAsia="Times New Roman"/>
        </w:rPr>
        <w:t xml:space="preserve">Alberta’s base fee also excludes permitted optional services, including meals, transportation and extended hours (Government of Alberta, 2026a). The published fee may therefore not reflect a family’s total payment. Any effect of extra charges on admission requires monitoring, since permission to charge them does not prove discrimination.</w:t>
      </w:r>
    </w:p>
    <w:p w14:paraId="4750F7E6" w14:textId="77777777" w:rsidR="00826006" w:rsidRDefault="00000000">
      <w:pPr>
        <w:spacing w:line="480" w:lineRule="auto"/>
        <w:ind w:firstLine="720"/>
      </w:pPr>
      <w:r>
        <w:rPr>
          <w:rFonts w:eastAsia="Times New Roman"/>
        </w:rPr>
        <w:t xml:space="preserve">Finally, the provinces offer different planning horizons. Ontario’s four-year extension gives longer federal funding than Alberta’s one-year extension, but its fee commitment covers a shorter period. Funding continuity and fee guarantees should therefore be compared separately.</w:t>
      </w:r>
    </w:p>
    <w:p w14:paraId="0842FEB0" w14:textId="77777777" w:rsidR="00826006" w:rsidRDefault="00000000">
      <w:pPr>
        <w:spacing w:line="480" w:lineRule="auto"/>
        <w:jc w:val="center"/>
      </w:pPr>
      <w:r>
        <w:rPr>
          <w:rFonts w:eastAsia="Times New Roman"/>
          <w:b/>
          <w:bCs/>
        </w:rPr>
        <w:t xml:space="preserve">What Ontario Can Learn </w:t>
      </w:r>
      <w:proofErr w:type="gramStart"/>
      <w:r>
        <w:rPr>
          <w:rFonts w:eastAsia="Times New Roman"/>
          <w:b/>
          <w:bCs/>
        </w:rPr>
        <w:t>From</w:t>
      </w:r>
      <w:proofErr w:type="gramEnd"/>
      <w:r>
        <w:rPr>
          <w:rFonts w:eastAsia="Times New Roman"/>
          <w:b/>
          <w:bCs/>
        </w:rPr>
        <w:t xml:space="preserve"> Alberta</w:t>
      </w:r>
    </w:p>
    <w:p w14:paraId="0D314809" w14:textId="77777777" w:rsidR="00826006" w:rsidRDefault="00000000">
      <w:pPr>
        <w:spacing w:line="480" w:lineRule="auto"/>
        <w:ind w:firstLine="720"/>
      </w:pPr>
      <w:r>
        <w:rPr>
          <w:rFonts w:eastAsia="Times New Roman"/>
        </w:rPr>
        <w:t xml:space="preserve">First, Ontario should adopt Alberta’s clarity without replacing its subsidy with a uniform payment. Families need to know the applicable fee, what it includes and which extra charges are allowed. Publishing actual payments by income would reveal burdens hidden by a provincial average.</w:t>
      </w:r>
    </w:p>
    <w:p w14:paraId="36A5272F" w14:textId="77777777" w:rsidR="00826006" w:rsidRDefault="00000000">
      <w:pPr>
        <w:spacing w:line="480" w:lineRule="auto"/>
        <w:ind w:firstLine="720"/>
      </w:pPr>
      <w:r>
        <w:rPr>
          <w:rFonts w:eastAsia="Times New Roman"/>
        </w:rPr>
        <w:t xml:space="preserve">Second, Ontario should retain targeted assistance and simplify access to it. My priority would be a transparent sliding scale reaching zero for the lowest-income families, with coordinated application support. Because service system managers already administer subsidy funding, Ontario could direct part of those allocations to multilingual navigation with educators, settlement workers and community organizations. In a Nova Scotia study, ECE participants found information from trusted social networks especially helpful, partly because it often came in families’ preferred languages (Fakhari et al., 2023, p. 10). Carbuccia et al. (2026), however, caution that administrative help is not enough, so Ontario should track applications, approvals and actual enrolment separately.</w:t>
      </w:r>
    </w:p>
    <w:p w14:paraId="78DD0C77" w14:textId="77777777" w:rsidR="00826006" w:rsidRDefault="00000000">
      <w:pPr>
        <w:spacing w:line="480" w:lineRule="auto"/>
        <w:ind w:firstLine="720"/>
      </w:pPr>
      <w:r>
        <w:rPr>
          <w:rFonts w:eastAsia="Times New Roman"/>
        </w:rPr>
        <w:t xml:space="preserve">Third, Ontario should connect operating and expansion funding to admission practices. Its Auditor General documented a local pilot reserving places for subsidy-eligible children. Between February 2023 and February 2025, subsidy-recipient enrolment rose from 20% to 22% in participating centres. In other centres, it fell from 23% to 14% (Office of the Auditor General of Ontario, 2025, p. 23). This descriptive comparison does not prove causation, but it gives a stronger basis for testing admission priorities than assuming lower prices will distribute places fairly.</w:t>
      </w:r>
    </w:p>
    <w:p w14:paraId="53341BA1" w14:textId="77777777" w:rsidR="00826006" w:rsidRDefault="00000000">
      <w:pPr>
        <w:spacing w:line="480" w:lineRule="auto"/>
        <w:ind w:firstLine="720"/>
      </w:pPr>
      <w:r>
        <w:rPr>
          <w:rFonts w:eastAsia="Times New Roman"/>
        </w:rPr>
        <w:t xml:space="preserve">Toronto’s home childcare expansion guide also prioritizes underserved areas and applications from nonprofit, Indigenous-led, Francophone and Black-led or Black-serving organizations (City of Toronto, 2025). These are funding priorities, not proven participation outcomes. Ontario should evaluate them using enrolment, waiting times and actual payments by income, while ensuring that operating funds support educators and program quality.</w:t>
      </w:r>
    </w:p>
    <w:p w14:paraId="1114C6A2" w14:textId="77777777" w:rsidR="00826006" w:rsidRDefault="00000000">
      <w:pPr>
        <w:spacing w:line="480" w:lineRule="auto"/>
        <w:ind w:firstLine="720"/>
      </w:pPr>
      <w:r>
        <w:rPr>
          <w:rFonts w:eastAsia="Times New Roman"/>
        </w:rPr>
        <w:t xml:space="preserve">Week 3 adds a further requirement: equitable provision cannot be assessed through income alone (Kim, 2026b, slides 23–25). Call to Action 12 calls for culturally appropriate early childhood education for Indigenous families (Truth and Reconciliation Commission of Canada, 2015). The Indigenous ELCC Framework emphasizes Indigenous leadership and distinctions-based approaches for First Nations, Inuit and Métis (ESDC, 2018). Ontario should support Indigenous-led planning and culturally grounded provision through genuine partnerships. Provincial fee statistics cannot show whether these commitments are met.</w:t>
      </w:r>
    </w:p>
    <w:p w14:paraId="6514F1D7" w14:textId="77777777" w:rsidR="00826006" w:rsidRDefault="00000000">
      <w:pPr>
        <w:spacing w:line="480" w:lineRule="auto"/>
        <w:jc w:val="center"/>
      </w:pPr>
      <w:r>
        <w:rPr>
          <w:rFonts w:eastAsia="Times New Roman"/>
          <w:b/>
          <w:bCs/>
        </w:rPr>
        <w:t>Conclusion</w:t>
      </w:r>
    </w:p>
    <w:p w14:paraId="5739B758" w14:textId="3F59EEFE" w:rsidR="00E02910" w:rsidRPr="00E02910" w:rsidRDefault="00E02910" w:rsidP="00E02910">
      <w:pPr>
        <w:spacing w:line="480" w:lineRule="auto"/>
        <w:ind w:firstLineChars="300" w:firstLine="720"/>
        <w:rPr>
          <w:rFonts w:eastAsia="Times New Roman"/>
        </w:rPr>
      </w:pPr>
      <w:r w:rsidRPr="00E02910">
        <w:rPr>
          <w:rFonts w:eastAsia="Times New Roman"/>
        </w:rPr>
        <w:t>Lower childcare fees do not necessarily lead to equitable participation. Alberta makes eligible fees easier to predict, but removing income-tested assistance for younger children can increase costs for families who previously received greater support. Ontario retains targeted subsidies, yet financial assistance cannot guarantee a suitable childcare place. This comparison shows why affordability, accessibility, and equitable participation must be assessed separately.</w:t>
      </w:r>
    </w:p>
    <w:p w14:paraId="5C3B8FAC" w14:textId="77777777" w:rsidR="00E02910" w:rsidRPr="00E02910" w:rsidRDefault="00E02910" w:rsidP="00E02910">
      <w:pPr>
        <w:spacing w:line="480" w:lineRule="auto"/>
        <w:ind w:firstLine="720"/>
        <w:rPr>
          <w:rFonts w:eastAsia="Times New Roman"/>
        </w:rPr>
      </w:pPr>
    </w:p>
    <w:p w14:paraId="7403981E" w14:textId="77777777" w:rsidR="00E02910" w:rsidRPr="00E02910" w:rsidRDefault="00E02910" w:rsidP="00E02910">
      <w:pPr>
        <w:spacing w:line="480" w:lineRule="auto"/>
        <w:ind w:firstLine="720"/>
        <w:rPr>
          <w:rFonts w:eastAsia="Times New Roman"/>
        </w:rPr>
      </w:pPr>
      <w:r w:rsidRPr="00E02910">
        <w:rPr>
          <w:rFonts w:eastAsia="Times New Roman"/>
        </w:rPr>
        <w:lastRenderedPageBreak/>
        <w:t>Ontario should learn from Alberta’s fee clarity without weakening protection for low-income families. It should simplify income-tested assistance and connect public funding to available spaces and admission practices, informed by the local pilot documented by the Auditor General. These efforts must also support Indigenous-led programs shaped by the communities they serve (ESDC, 2018).</w:t>
      </w:r>
    </w:p>
    <w:p w14:paraId="48EFA08C" w14:textId="77777777" w:rsidR="00E02910" w:rsidRPr="00E02910" w:rsidRDefault="00E02910" w:rsidP="00E02910">
      <w:pPr>
        <w:spacing w:line="480" w:lineRule="auto"/>
        <w:ind w:firstLine="720"/>
        <w:rPr>
          <w:rFonts w:eastAsia="Times New Roman"/>
        </w:rPr>
      </w:pPr>
    </w:p>
    <w:p w14:paraId="6F8EBFC3" w14:textId="47FC2CE5" w:rsidR="00826006" w:rsidRDefault="00E02910" w:rsidP="00E02910">
      <w:pPr>
        <w:spacing w:line="480" w:lineRule="auto"/>
        <w:ind w:firstLine="720"/>
      </w:pPr>
      <w:r w:rsidRPr="00E02910">
        <w:rPr>
          <w:rFonts w:eastAsia="Times New Roman"/>
        </w:rPr>
        <w:t>Week 2’s distinction between systems and programs helps explain the broader problem: funding decisions operate at the system level, but families experience access through individual programs (Kim, 2026a). For me, CWELCC’s success should therefore be judged not only by lower fees</w:t>
      </w:r>
      <w:r>
        <w:rPr>
          <w:rFonts w:eastAsia="Times New Roman"/>
        </w:rPr>
        <w:t xml:space="preserve"> </w:t>
      </w:r>
      <w:proofErr w:type="gramStart"/>
      <w:r>
        <w:rPr>
          <w:rFonts w:eastAsia="Times New Roman"/>
        </w:rPr>
        <w:t xml:space="preserve">but </w:t>
      </w:r>
      <w:r w:rsidRPr="00E02910">
        <w:rPr>
          <w:rFonts w:eastAsia="Times New Roman"/>
        </w:rPr>
        <w:t xml:space="preserve"> by</w:t>
      </w:r>
      <w:proofErr w:type="gramEnd"/>
      <w:r w:rsidRPr="00E02910">
        <w:rPr>
          <w:rFonts w:eastAsia="Times New Roman"/>
        </w:rPr>
        <w:t xml:space="preserve"> whether publicly funded childcare reaches the families it is intended to serve.</w:t>
      </w:r>
      <w:r w:rsidR="00000000">
        <w:rPr>
          <w:rFonts w:eastAsia="Times New Roman"/>
        </w:rPr>
        <w:t xml:space="preserve"> </w:t>
      </w:r>
    </w:p>
    <w:p w14:paraId="352F2EFE" w14:textId="77777777" w:rsidR="00826006" w:rsidRDefault="00000000">
      <w:pPr>
        <w:pageBreakBefore/>
        <w:spacing w:line="480" w:lineRule="auto"/>
        <w:jc w:val="center"/>
      </w:pPr>
      <w:r>
        <w:rPr>
          <w:rFonts w:eastAsia="Times New Roman"/>
          <w:b/>
          <w:bCs/>
        </w:rPr>
        <w:lastRenderedPageBreak/>
        <w:t>References</w:t>
      </w:r>
    </w:p>
    <w:p w14:paraId="6E2A9F23" w14:textId="3E70A7E0" w:rsidR="00826006" w:rsidRDefault="00000000">
      <w:pPr>
        <w:spacing w:line="480" w:lineRule="auto"/>
        <w:ind w:left="720" w:hanging="720"/>
      </w:pPr>
      <w:r>
        <w:rPr>
          <w:rFonts w:eastAsia="Times New Roman"/>
        </w:rPr>
        <w:t xml:space="preserve">Burns, S., Yu, E., Perlman, J., Kahlon, K., &amp; Perlman, M. (2025). “It is almost impossible to get a spot when you need </w:t>
      </w:r>
      <w:r w:rsidR="005F7FD5">
        <w:rPr>
          <w:rFonts w:eastAsia="Times New Roman" w:hint="eastAsia"/>
        </w:rPr>
        <w:t xml:space="preserve">it”: </w:t>
      </w:r>
      <w:r>
        <w:rPr>
          <w:rFonts w:eastAsia="Times New Roman"/>
        </w:rPr>
        <w:t xml:space="preserve">Understanding parental knowledge and experiences of Canada’s new child care policy promoting access to quality early childhood education and care. </w:t>
      </w:r>
      <w:r>
        <w:rPr>
          <w:rFonts w:eastAsia="Times New Roman"/>
          <w:i/>
          <w:iCs/>
        </w:rPr>
        <w:t>Early Childhood Research Quarterly, 73</w:t>
      </w:r>
      <w:r>
        <w:rPr>
          <w:rFonts w:eastAsia="Times New Roman"/>
        </w:rPr>
        <w:t>, 69–81. https://doi.org/10.1016/j.ecresq.2025.05.004</w:t>
      </w:r>
    </w:p>
    <w:p w14:paraId="7427EBE3" w14:textId="77777777" w:rsidR="00826006" w:rsidRDefault="00000000">
      <w:pPr>
        <w:spacing w:line="480" w:lineRule="auto"/>
        <w:ind w:left="720" w:hanging="720"/>
      </w:pPr>
      <w:r>
        <w:rPr>
          <w:rFonts w:eastAsia="Times New Roman"/>
        </w:rPr>
        <w:t xml:space="preserve">Carbuccia, L., Heim, A., Barone, C., &amp; Chevallier, C. (2026). A randomized controlled trial on the effect of administrative burden and information costs on social inequalities in early childcare access in France. </w:t>
      </w:r>
      <w:r>
        <w:rPr>
          <w:rFonts w:eastAsia="Times New Roman"/>
          <w:i/>
          <w:iCs/>
        </w:rPr>
        <w:t xml:space="preserve">Nature Human </w:t>
      </w:r>
      <w:proofErr w:type="spellStart"/>
      <w:r>
        <w:rPr>
          <w:rFonts w:eastAsia="Times New Roman"/>
          <w:i/>
          <w:iCs/>
        </w:rPr>
        <w:t>Behaviour</w:t>
      </w:r>
      <w:proofErr w:type="spellEnd"/>
      <w:r>
        <w:rPr>
          <w:rFonts w:eastAsia="Times New Roman"/>
          <w:i/>
          <w:iCs/>
        </w:rPr>
        <w:t>, 10</w:t>
      </w:r>
      <w:r>
        <w:rPr>
          <w:rFonts w:eastAsia="Times New Roman"/>
        </w:rPr>
        <w:t>, 64–79. https://doi.org/10.1038/s41562-025-02293-4</w:t>
      </w:r>
    </w:p>
    <w:p w14:paraId="3A914C24" w14:textId="77777777" w:rsidR="00826006" w:rsidRDefault="00000000">
      <w:pPr>
        <w:spacing w:line="480" w:lineRule="auto"/>
        <w:ind w:left="720" w:hanging="720"/>
      </w:pPr>
      <w:r>
        <w:rPr>
          <w:rFonts w:eastAsia="Times New Roman"/>
        </w:rPr>
        <w:t xml:space="preserve">Child Care Now. (2025, February 12). </w:t>
      </w:r>
      <w:r>
        <w:rPr>
          <w:rFonts w:eastAsia="Times New Roman"/>
          <w:i/>
          <w:iCs/>
        </w:rPr>
        <w:t xml:space="preserve">Backgrounder: Alberta’s $15-a-day </w:t>
      </w:r>
      <w:proofErr w:type="gramStart"/>
      <w:r>
        <w:rPr>
          <w:rFonts w:eastAsia="Times New Roman"/>
          <w:i/>
          <w:iCs/>
        </w:rPr>
        <w:t>child care</w:t>
      </w:r>
      <w:proofErr w:type="gramEnd"/>
      <w:r>
        <w:rPr>
          <w:rFonts w:eastAsia="Times New Roman"/>
          <w:i/>
          <w:iCs/>
        </w:rPr>
        <w:t xml:space="preserve"> program</w:t>
      </w:r>
      <w:r>
        <w:rPr>
          <w:rFonts w:eastAsia="Times New Roman"/>
        </w:rPr>
        <w:t>. https://childcarenow.ca/2025/02/12/backgrounder-albertas-15-a-day-child-care-program/</w:t>
      </w:r>
    </w:p>
    <w:p w14:paraId="7322D179" w14:textId="77777777" w:rsidR="00826006" w:rsidRDefault="00000000">
      <w:pPr>
        <w:spacing w:line="480" w:lineRule="auto"/>
        <w:ind w:left="720" w:hanging="720"/>
      </w:pPr>
      <w:r>
        <w:rPr>
          <w:rFonts w:eastAsia="Times New Roman"/>
        </w:rPr>
        <w:t xml:space="preserve">City of Toronto. (2025, July). </w:t>
      </w:r>
      <w:r>
        <w:rPr>
          <w:rFonts w:eastAsia="Times New Roman"/>
          <w:i/>
          <w:iCs/>
        </w:rPr>
        <w:t xml:space="preserve">Canada-wide Early Learning and Child Care (CWELCC) enrollment guide—Home </w:t>
      </w:r>
      <w:proofErr w:type="gramStart"/>
      <w:r>
        <w:rPr>
          <w:rFonts w:eastAsia="Times New Roman"/>
          <w:i/>
          <w:iCs/>
        </w:rPr>
        <w:t>child care</w:t>
      </w:r>
      <w:proofErr w:type="gramEnd"/>
      <w:r>
        <w:rPr>
          <w:rFonts w:eastAsia="Times New Roman"/>
        </w:rPr>
        <w:t>. https://www.toronto.ca/wp-content/uploads/2025/07/96a3-tcs-cwelcc-expansion-guide-hcc.pdf</w:t>
      </w:r>
    </w:p>
    <w:p w14:paraId="19CB0B57" w14:textId="77777777" w:rsidR="00826006" w:rsidRDefault="00000000">
      <w:pPr>
        <w:spacing w:line="480" w:lineRule="auto"/>
        <w:ind w:left="720" w:hanging="720"/>
      </w:pPr>
      <w:r>
        <w:rPr>
          <w:rFonts w:eastAsia="Times New Roman"/>
        </w:rPr>
        <w:t xml:space="preserve">Cleveland, G., &amp; </w:t>
      </w:r>
      <w:proofErr w:type="spellStart"/>
      <w:r>
        <w:rPr>
          <w:rFonts w:eastAsia="Times New Roman"/>
        </w:rPr>
        <w:t>Krashinsky</w:t>
      </w:r>
      <w:proofErr w:type="spellEnd"/>
      <w:r>
        <w:rPr>
          <w:rFonts w:eastAsia="Times New Roman"/>
        </w:rPr>
        <w:t xml:space="preserve">, M. (2009). The nonprofit advantage: Producing quality in thick and thin </w:t>
      </w:r>
      <w:proofErr w:type="gramStart"/>
      <w:r>
        <w:rPr>
          <w:rFonts w:eastAsia="Times New Roman"/>
        </w:rPr>
        <w:t>child care</w:t>
      </w:r>
      <w:proofErr w:type="gramEnd"/>
      <w:r>
        <w:rPr>
          <w:rFonts w:eastAsia="Times New Roman"/>
        </w:rPr>
        <w:t xml:space="preserve"> markets. </w:t>
      </w:r>
      <w:r>
        <w:rPr>
          <w:rFonts w:eastAsia="Times New Roman"/>
          <w:i/>
          <w:iCs/>
        </w:rPr>
        <w:t>Journal of Policy Analysis and Management, 28</w:t>
      </w:r>
      <w:r>
        <w:rPr>
          <w:rFonts w:eastAsia="Times New Roman"/>
        </w:rPr>
        <w:t>(3), 440–462. https://doi.org/10.1002/pam.20440</w:t>
      </w:r>
    </w:p>
    <w:p w14:paraId="1D7ED02A" w14:textId="77777777" w:rsidR="00826006" w:rsidRDefault="00000000">
      <w:pPr>
        <w:spacing w:line="480" w:lineRule="auto"/>
        <w:ind w:left="720" w:hanging="720"/>
      </w:pPr>
      <w:proofErr w:type="spellStart"/>
      <w:r>
        <w:rPr>
          <w:rFonts w:eastAsia="Times New Roman"/>
        </w:rPr>
        <w:t>Dhuey</w:t>
      </w:r>
      <w:proofErr w:type="spellEnd"/>
      <w:r>
        <w:rPr>
          <w:rFonts w:eastAsia="Times New Roman"/>
        </w:rPr>
        <w:t xml:space="preserve">, E. (2024). Will the increased investment in early childhood education and care in Canada pay off? It depends! </w:t>
      </w:r>
      <w:r>
        <w:rPr>
          <w:rFonts w:eastAsia="Times New Roman"/>
          <w:i/>
          <w:iCs/>
        </w:rPr>
        <w:t>Canadian Public Policy, 50</w:t>
      </w:r>
      <w:r>
        <w:rPr>
          <w:rFonts w:eastAsia="Times New Roman"/>
        </w:rPr>
        <w:t>(S1), 103–126. https://doi.org/10.3138/cpp.2023-061</w:t>
      </w:r>
    </w:p>
    <w:p w14:paraId="2504A0A5" w14:textId="77777777" w:rsidR="00826006" w:rsidRDefault="00000000">
      <w:pPr>
        <w:spacing w:line="480" w:lineRule="auto"/>
        <w:ind w:left="720" w:hanging="720"/>
      </w:pPr>
      <w:r>
        <w:rPr>
          <w:rFonts w:eastAsia="Times New Roman"/>
        </w:rPr>
        <w:t xml:space="preserve">Employment and Social Development Canada. (2018). </w:t>
      </w:r>
      <w:r>
        <w:rPr>
          <w:rFonts w:eastAsia="Times New Roman"/>
          <w:i/>
          <w:iCs/>
        </w:rPr>
        <w:t xml:space="preserve">Indigenous early learning and </w:t>
      </w:r>
      <w:proofErr w:type="gramStart"/>
      <w:r>
        <w:rPr>
          <w:rFonts w:eastAsia="Times New Roman"/>
          <w:i/>
          <w:iCs/>
        </w:rPr>
        <w:t>child care</w:t>
      </w:r>
      <w:proofErr w:type="gramEnd"/>
      <w:r>
        <w:rPr>
          <w:rFonts w:eastAsia="Times New Roman"/>
          <w:i/>
          <w:iCs/>
        </w:rPr>
        <w:t xml:space="preserve"> framework</w:t>
      </w:r>
      <w:r>
        <w:rPr>
          <w:rFonts w:eastAsia="Times New Roman"/>
        </w:rPr>
        <w:t>. https://www.canada.ca/en/employment-social-</w:t>
      </w:r>
      <w:r>
        <w:rPr>
          <w:rFonts w:eastAsia="Times New Roman"/>
        </w:rPr>
        <w:lastRenderedPageBreak/>
        <w:t>development/programs/indigenous-early-learning/2018-framework.html</w:t>
      </w:r>
    </w:p>
    <w:p w14:paraId="3D93950F" w14:textId="77777777" w:rsidR="00826006" w:rsidRDefault="00000000">
      <w:pPr>
        <w:spacing w:line="480" w:lineRule="auto"/>
        <w:ind w:left="720" w:hanging="720"/>
      </w:pPr>
      <w:r>
        <w:rPr>
          <w:rFonts w:eastAsia="Times New Roman"/>
        </w:rPr>
        <w:t xml:space="preserve">Employment and Social Development Canada. (2025, December 12). </w:t>
      </w:r>
      <w:r>
        <w:rPr>
          <w:rFonts w:eastAsia="Times New Roman"/>
          <w:i/>
          <w:iCs/>
        </w:rPr>
        <w:t xml:space="preserve">Canada and Alberta agree to one-year extension of early learning and </w:t>
      </w:r>
      <w:proofErr w:type="gramStart"/>
      <w:r>
        <w:rPr>
          <w:rFonts w:eastAsia="Times New Roman"/>
          <w:i/>
          <w:iCs/>
        </w:rPr>
        <w:t>child care</w:t>
      </w:r>
      <w:proofErr w:type="gramEnd"/>
      <w:r>
        <w:rPr>
          <w:rFonts w:eastAsia="Times New Roman"/>
          <w:i/>
          <w:iCs/>
        </w:rPr>
        <w:t xml:space="preserve"> agreements</w:t>
      </w:r>
      <w:r>
        <w:rPr>
          <w:rFonts w:eastAsia="Times New Roman"/>
        </w:rPr>
        <w:t xml:space="preserve"> [News release]. https://www.canada.ca/en/employment-social-development/news/2025/12/canada-and-alberta-agree-to-one-year-extension-of-early-learning-and-child-care-agreements.html</w:t>
      </w:r>
    </w:p>
    <w:p w14:paraId="0341F4D4" w14:textId="77777777" w:rsidR="005F7FD5" w:rsidRDefault="00000000">
      <w:pPr>
        <w:spacing w:line="480" w:lineRule="auto"/>
        <w:ind w:left="720" w:hanging="720"/>
        <w:rPr>
          <w:rFonts w:eastAsia="Times New Roman"/>
        </w:rPr>
      </w:pPr>
      <w:r>
        <w:rPr>
          <w:rFonts w:eastAsia="Times New Roman"/>
        </w:rPr>
        <w:t xml:space="preserve">Employment and Social Development Canada. (2026, September 29). </w:t>
      </w:r>
      <w:r>
        <w:rPr>
          <w:rFonts w:eastAsia="Times New Roman"/>
          <w:i/>
          <w:iCs/>
        </w:rPr>
        <w:t xml:space="preserve">Canada and Ontario agree to four-year extension of Canada–Ontario Canada-wide early learning and </w:t>
      </w:r>
      <w:proofErr w:type="gramStart"/>
      <w:r>
        <w:rPr>
          <w:rFonts w:eastAsia="Times New Roman"/>
          <w:i/>
          <w:iCs/>
        </w:rPr>
        <w:t>child care</w:t>
      </w:r>
      <w:proofErr w:type="gramEnd"/>
      <w:r>
        <w:rPr>
          <w:rFonts w:eastAsia="Times New Roman"/>
          <w:i/>
          <w:iCs/>
        </w:rPr>
        <w:t xml:space="preserve"> agreement</w:t>
      </w:r>
      <w:r>
        <w:rPr>
          <w:rFonts w:eastAsia="Times New Roman"/>
        </w:rPr>
        <w:t xml:space="preserve"> [News release]. https://www.canada.ca/en/employment-social-development/news/2026/09/canada-and-ontario-agree-to-four-year-extension-of-canadaontario-canada-wide-early-learning-and-child-care-agreement.html</w:t>
      </w:r>
    </w:p>
    <w:p w14:paraId="27F9C5BC" w14:textId="77777777" w:rsidR="00826006" w:rsidRDefault="00000000">
      <w:pPr>
        <w:spacing w:line="480" w:lineRule="auto"/>
        <w:ind w:left="720" w:hanging="720"/>
      </w:pPr>
      <w:r>
        <w:rPr>
          <w:rFonts w:eastAsia="Times New Roman"/>
        </w:rPr>
        <w:t xml:space="preserve">Fakhari, N., McIsaac, J.-L. D., Feicht, R., Reddington, S., Brigham, S., </w:t>
      </w:r>
      <w:proofErr w:type="spellStart"/>
      <w:r>
        <w:rPr>
          <w:rFonts w:eastAsia="Times New Roman"/>
        </w:rPr>
        <w:t>Mandrona</w:t>
      </w:r>
      <w:proofErr w:type="spellEnd"/>
      <w:r>
        <w:rPr>
          <w:rFonts w:eastAsia="Times New Roman"/>
        </w:rPr>
        <w:t xml:space="preserve">, A., McLean, C., Harkins, M. J., &amp; Stirling Cameron, E. (2023). Looking through the lens: A photovoice study examining access to services for newcomer children. </w:t>
      </w:r>
      <w:r>
        <w:rPr>
          <w:rFonts w:eastAsia="Times New Roman"/>
          <w:i/>
          <w:iCs/>
        </w:rPr>
        <w:t>International Journal of Qualitative Studies on Health and Well-Being, 18</w:t>
      </w:r>
      <w:r>
        <w:rPr>
          <w:rFonts w:eastAsia="Times New Roman"/>
        </w:rPr>
        <w:t>(1), Article 2255176. https://doi.org/10.1080/17482631.2023.2255176</w:t>
      </w:r>
    </w:p>
    <w:p w14:paraId="34238B60" w14:textId="77777777" w:rsidR="00826006" w:rsidRDefault="00000000">
      <w:pPr>
        <w:spacing w:line="480" w:lineRule="auto"/>
        <w:ind w:left="720" w:hanging="720"/>
      </w:pPr>
      <w:r>
        <w:rPr>
          <w:rFonts w:eastAsia="Times New Roman"/>
        </w:rPr>
        <w:t xml:space="preserve">Government of Alberta. (2026a). </w:t>
      </w:r>
      <w:r>
        <w:rPr>
          <w:rFonts w:eastAsia="Times New Roman"/>
          <w:i/>
          <w:iCs/>
        </w:rPr>
        <w:t>Childcare fees</w:t>
      </w:r>
      <w:r>
        <w:rPr>
          <w:rFonts w:eastAsia="Times New Roman"/>
        </w:rPr>
        <w:t>. https://www.alberta.ca/childcare-fees</w:t>
      </w:r>
    </w:p>
    <w:p w14:paraId="52A69FB1" w14:textId="77777777" w:rsidR="00826006" w:rsidRDefault="00000000">
      <w:pPr>
        <w:spacing w:line="480" w:lineRule="auto"/>
        <w:ind w:left="720" w:hanging="720"/>
      </w:pPr>
      <w:r>
        <w:rPr>
          <w:rFonts w:eastAsia="Times New Roman"/>
        </w:rPr>
        <w:t xml:space="preserve">Government of Alberta. (2026b). </w:t>
      </w:r>
      <w:r>
        <w:rPr>
          <w:rFonts w:eastAsia="Times New Roman"/>
          <w:i/>
          <w:iCs/>
        </w:rPr>
        <w:t>Child care subsidy</w:t>
      </w:r>
      <w:r>
        <w:rPr>
          <w:rFonts w:eastAsia="Times New Roman"/>
        </w:rPr>
        <w:t>. https://www.alberta.ca/child-care-subsidy</w:t>
      </w:r>
    </w:p>
    <w:p w14:paraId="5D491D85" w14:textId="77777777" w:rsidR="00826006" w:rsidRDefault="00000000">
      <w:pPr>
        <w:spacing w:line="480" w:lineRule="auto"/>
        <w:ind w:left="720" w:hanging="720"/>
      </w:pPr>
      <w:r>
        <w:rPr>
          <w:rFonts w:eastAsia="Times New Roman"/>
        </w:rPr>
        <w:t xml:space="preserve">Government of Ontario. (n.d.). </w:t>
      </w:r>
      <w:r>
        <w:rPr>
          <w:rFonts w:eastAsia="Times New Roman"/>
          <w:i/>
          <w:iCs/>
        </w:rPr>
        <w:t xml:space="preserve">Canada–Ontario early learning and </w:t>
      </w:r>
      <w:proofErr w:type="gramStart"/>
      <w:r>
        <w:rPr>
          <w:rFonts w:eastAsia="Times New Roman"/>
          <w:i/>
          <w:iCs/>
        </w:rPr>
        <w:t>child care</w:t>
      </w:r>
      <w:proofErr w:type="gramEnd"/>
      <w:r>
        <w:rPr>
          <w:rFonts w:eastAsia="Times New Roman"/>
          <w:i/>
          <w:iCs/>
        </w:rPr>
        <w:t xml:space="preserve"> agreement</w:t>
      </w:r>
      <w:r>
        <w:rPr>
          <w:rFonts w:eastAsia="Times New Roman"/>
        </w:rPr>
        <w:t>. https://www.ontario.ca/page/canada-ontario-early-years-and-child-care-agreement</w:t>
      </w:r>
    </w:p>
    <w:p w14:paraId="58FE5773" w14:textId="77777777" w:rsidR="00826006" w:rsidRDefault="00000000">
      <w:pPr>
        <w:spacing w:line="480" w:lineRule="auto"/>
        <w:ind w:left="720" w:hanging="720"/>
      </w:pPr>
      <w:r>
        <w:rPr>
          <w:rFonts w:eastAsia="Times New Roman"/>
        </w:rPr>
        <w:t xml:space="preserve">Heinz, H., Bell, D., Castillo, D., Fowler, R., Cordova, Y., </w:t>
      </w:r>
      <w:proofErr w:type="spellStart"/>
      <w:r>
        <w:rPr>
          <w:rFonts w:eastAsia="Times New Roman"/>
        </w:rPr>
        <w:t>Lesansee</w:t>
      </w:r>
      <w:proofErr w:type="spellEnd"/>
      <w:r>
        <w:rPr>
          <w:rFonts w:eastAsia="Times New Roman"/>
        </w:rPr>
        <w:t xml:space="preserve">, S., Breidenbach, A. L., Juarez, R., Acharya, B., &amp; Kaminsky, A. (2025). </w:t>
      </w:r>
      <w:proofErr w:type="gramStart"/>
      <w:r>
        <w:rPr>
          <w:rFonts w:eastAsia="Times New Roman"/>
        </w:rPr>
        <w:t>Child care</w:t>
      </w:r>
      <w:proofErr w:type="gramEnd"/>
      <w:r>
        <w:rPr>
          <w:rFonts w:eastAsia="Times New Roman"/>
        </w:rPr>
        <w:t xml:space="preserve"> use, preferences and access </w:t>
      </w:r>
      <w:r>
        <w:rPr>
          <w:rFonts w:eastAsia="Times New Roman"/>
        </w:rPr>
        <w:lastRenderedPageBreak/>
        <w:t xml:space="preserve">constraints among Native American, immigrant, refugee and Spanish-speaking families in New Mexico. </w:t>
      </w:r>
      <w:r>
        <w:rPr>
          <w:rFonts w:eastAsia="Times New Roman"/>
          <w:i/>
          <w:iCs/>
        </w:rPr>
        <w:t>Early Childhood Research Quarterly, 70</w:t>
      </w:r>
      <w:r>
        <w:rPr>
          <w:rFonts w:eastAsia="Times New Roman"/>
        </w:rPr>
        <w:t>, 393–403. https://doi.org/10.1016/j.ecresq.2024.11.008</w:t>
      </w:r>
    </w:p>
    <w:p w14:paraId="306DB257" w14:textId="77777777" w:rsidR="00826006" w:rsidRDefault="00000000">
      <w:pPr>
        <w:spacing w:line="480" w:lineRule="auto"/>
        <w:ind w:left="720" w:hanging="720"/>
      </w:pPr>
      <w:r>
        <w:rPr>
          <w:rFonts w:eastAsia="Times New Roman"/>
        </w:rPr>
        <w:t xml:space="preserve">Heinz, H., Nava, M., Asencio Pimentel, M. F., Cordova, Y., Baker Martínez, E., &amp; Jimenez, E. Y. (2025). Family perspectives from users and non-users of subsidized </w:t>
      </w:r>
      <w:proofErr w:type="gramStart"/>
      <w:r>
        <w:rPr>
          <w:rFonts w:eastAsia="Times New Roman"/>
        </w:rPr>
        <w:t>child care</w:t>
      </w:r>
      <w:proofErr w:type="gramEnd"/>
      <w:r>
        <w:rPr>
          <w:rFonts w:eastAsia="Times New Roman"/>
        </w:rPr>
        <w:t xml:space="preserve">: Benefits and barriers to subsidy participation. </w:t>
      </w:r>
      <w:r>
        <w:rPr>
          <w:rFonts w:eastAsia="Times New Roman"/>
          <w:i/>
          <w:iCs/>
        </w:rPr>
        <w:t>Children and Youth Services Review, 169</w:t>
      </w:r>
      <w:r>
        <w:rPr>
          <w:rFonts w:eastAsia="Times New Roman"/>
        </w:rPr>
        <w:t>, Article 108090. https://doi.org/10.1016/j.childyouth.2024.108090</w:t>
      </w:r>
    </w:p>
    <w:p w14:paraId="7B5F8C18" w14:textId="77777777" w:rsidR="00826006" w:rsidRDefault="00000000">
      <w:pPr>
        <w:spacing w:line="480" w:lineRule="auto"/>
        <w:ind w:left="720" w:hanging="720"/>
      </w:pPr>
      <w:r>
        <w:rPr>
          <w:rFonts w:eastAsia="Times New Roman"/>
        </w:rPr>
        <w:t xml:space="preserve">Kim, C. C. (2026a). </w:t>
      </w:r>
      <w:r>
        <w:rPr>
          <w:rFonts w:eastAsia="Times New Roman"/>
          <w:i/>
          <w:iCs/>
        </w:rPr>
        <w:t>Early childhood programs &amp; systems delivery: Week 2</w:t>
      </w:r>
      <w:r>
        <w:rPr>
          <w:rFonts w:eastAsia="Times New Roman"/>
        </w:rPr>
        <w:t xml:space="preserve"> [Lecture slides]. George Brown Polytechnic.</w:t>
      </w:r>
    </w:p>
    <w:p w14:paraId="1B8E626B" w14:textId="77777777" w:rsidR="00826006" w:rsidRDefault="00000000">
      <w:pPr>
        <w:spacing w:line="480" w:lineRule="auto"/>
        <w:ind w:left="720" w:hanging="720"/>
      </w:pPr>
      <w:r>
        <w:rPr>
          <w:rFonts w:eastAsia="Times New Roman"/>
        </w:rPr>
        <w:t xml:space="preserve">Kim, C. C. (2026b). </w:t>
      </w:r>
      <w:r>
        <w:rPr>
          <w:rFonts w:eastAsia="Times New Roman"/>
          <w:i/>
          <w:iCs/>
        </w:rPr>
        <w:t>Early childhood programs &amp; systems delivery: Week 3</w:t>
      </w:r>
      <w:r>
        <w:rPr>
          <w:rFonts w:eastAsia="Times New Roman"/>
        </w:rPr>
        <w:t xml:space="preserve"> [Lecture slides]. George Brown Polytechnic.</w:t>
      </w:r>
    </w:p>
    <w:p w14:paraId="4062535A" w14:textId="77777777" w:rsidR="00826006" w:rsidRDefault="00000000">
      <w:pPr>
        <w:spacing w:line="480" w:lineRule="auto"/>
        <w:ind w:left="720" w:hanging="720"/>
      </w:pPr>
      <w:r>
        <w:rPr>
          <w:rFonts w:eastAsia="Times New Roman"/>
        </w:rPr>
        <w:t xml:space="preserve">Langford, T. (2011). </w:t>
      </w:r>
      <w:r>
        <w:rPr>
          <w:rFonts w:eastAsia="Times New Roman"/>
          <w:i/>
          <w:iCs/>
        </w:rPr>
        <w:t>Alberta’s day care controversy: From 1908 to 2009 and beyond</w:t>
      </w:r>
      <w:r>
        <w:rPr>
          <w:rFonts w:eastAsia="Times New Roman"/>
        </w:rPr>
        <w:t>. Athabasca University Press.</w:t>
      </w:r>
    </w:p>
    <w:p w14:paraId="17246B2E" w14:textId="77777777" w:rsidR="00826006" w:rsidRDefault="00000000">
      <w:pPr>
        <w:spacing w:line="480" w:lineRule="auto"/>
        <w:ind w:left="720" w:hanging="720"/>
      </w:pPr>
      <w:r>
        <w:rPr>
          <w:rFonts w:eastAsia="Times New Roman"/>
        </w:rPr>
        <w:t xml:space="preserve">Office of the Auditor General of Ontario. (2025). </w:t>
      </w:r>
      <w:r>
        <w:rPr>
          <w:rFonts w:eastAsia="Times New Roman"/>
          <w:i/>
          <w:iCs/>
        </w:rPr>
        <w:t xml:space="preserve">Canada-wide early learning and </w:t>
      </w:r>
      <w:proofErr w:type="gramStart"/>
      <w:r>
        <w:rPr>
          <w:rFonts w:eastAsia="Times New Roman"/>
          <w:i/>
          <w:iCs/>
        </w:rPr>
        <w:t>child care</w:t>
      </w:r>
      <w:proofErr w:type="gramEnd"/>
      <w:r>
        <w:rPr>
          <w:rFonts w:eastAsia="Times New Roman"/>
          <w:i/>
          <w:iCs/>
        </w:rPr>
        <w:t xml:space="preserve"> program</w:t>
      </w:r>
      <w:r>
        <w:rPr>
          <w:rFonts w:eastAsia="Times New Roman"/>
        </w:rPr>
        <w:t xml:space="preserve"> [Special report]. https://auditor.on.ca/en/content/specialreports/specialreports/en25/AR-PA_CELandCCP_en25.pdf</w:t>
      </w:r>
    </w:p>
    <w:p w14:paraId="6B308220" w14:textId="77777777" w:rsidR="00826006" w:rsidRDefault="00000000">
      <w:pPr>
        <w:spacing w:line="480" w:lineRule="auto"/>
        <w:ind w:left="720" w:hanging="720"/>
      </w:pPr>
      <w:r>
        <w:rPr>
          <w:rFonts w:eastAsia="Times New Roman"/>
        </w:rPr>
        <w:t xml:space="preserve">Pavolini, E., &amp; Van Lancker, W. (2018). The Matthew effect in childcare use: A matter of policies or preferences? </w:t>
      </w:r>
      <w:r>
        <w:rPr>
          <w:rFonts w:eastAsia="Times New Roman"/>
          <w:i/>
          <w:iCs/>
        </w:rPr>
        <w:t>Journal of European Public Policy, 25</w:t>
      </w:r>
      <w:r>
        <w:rPr>
          <w:rFonts w:eastAsia="Times New Roman"/>
        </w:rPr>
        <w:t>(6), 878–893. https://doi.org/10.1080/13501763.2017.1401108</w:t>
      </w:r>
    </w:p>
    <w:p w14:paraId="3EFCEB3A" w14:textId="77777777" w:rsidR="00826006" w:rsidRDefault="00000000">
      <w:pPr>
        <w:spacing w:line="480" w:lineRule="auto"/>
        <w:ind w:left="720" w:hanging="720"/>
      </w:pPr>
      <w:r>
        <w:rPr>
          <w:rFonts w:eastAsia="Times New Roman"/>
        </w:rPr>
        <w:t xml:space="preserve">Stronach, R. A. E. (2023). How does learning happen? Ontario’s pedagogy of </w:t>
      </w:r>
      <w:proofErr w:type="gramStart"/>
      <w:r>
        <w:rPr>
          <w:rFonts w:eastAsia="Times New Roman"/>
        </w:rPr>
        <w:t>oppression?:</w:t>
      </w:r>
      <w:proofErr w:type="gramEnd"/>
      <w:r>
        <w:rPr>
          <w:rFonts w:eastAsia="Times New Roman"/>
        </w:rPr>
        <w:t xml:space="preserve"> A critical discourse analysis of Ontario’s early years pedagogical framework. </w:t>
      </w:r>
      <w:r>
        <w:rPr>
          <w:rFonts w:eastAsia="Times New Roman"/>
          <w:i/>
          <w:iCs/>
        </w:rPr>
        <w:t>Journal of Childhood Studies, 48</w:t>
      </w:r>
      <w:r>
        <w:rPr>
          <w:rFonts w:eastAsia="Times New Roman"/>
        </w:rPr>
        <w:t>(2), 32–50. https://doi.org/10.18357/jcs482202320982</w:t>
      </w:r>
    </w:p>
    <w:p w14:paraId="615B00D5" w14:textId="77777777" w:rsidR="005F7FD5" w:rsidRDefault="00000000">
      <w:pPr>
        <w:spacing w:line="480" w:lineRule="auto"/>
        <w:ind w:left="720" w:hanging="720"/>
        <w:rPr>
          <w:rFonts w:eastAsia="Times New Roman"/>
        </w:rPr>
      </w:pPr>
      <w:r>
        <w:rPr>
          <w:rFonts w:eastAsia="Times New Roman"/>
        </w:rPr>
        <w:lastRenderedPageBreak/>
        <w:t xml:space="preserve">Truth and Reconciliation Commission of Canada. (2015). </w:t>
      </w:r>
      <w:r>
        <w:rPr>
          <w:rFonts w:eastAsia="Times New Roman"/>
          <w:i/>
          <w:iCs/>
        </w:rPr>
        <w:t>Truth and Reconciliation Commission of Canada: Calls to action</w:t>
      </w:r>
      <w:r>
        <w:rPr>
          <w:rFonts w:eastAsia="Times New Roman"/>
        </w:rPr>
        <w:t>. https://publications.gc.ca/site/eng/9.801236/publication.html</w:t>
      </w:r>
    </w:p>
    <w:sectPr w:rsidR="00826006">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89E5A9" w14:textId="77777777" w:rsidR="00422882" w:rsidRDefault="00422882">
      <w:r>
        <w:separator/>
      </w:r>
    </w:p>
  </w:endnote>
  <w:endnote w:type="continuationSeparator" w:id="0">
    <w:p w14:paraId="2A7F0F64" w14:textId="77777777" w:rsidR="00422882" w:rsidRDefault="00422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5D3BE0" w14:textId="77777777" w:rsidR="00422882" w:rsidRDefault="00422882">
      <w:r>
        <w:separator/>
      </w:r>
    </w:p>
  </w:footnote>
  <w:footnote w:type="continuationSeparator" w:id="0">
    <w:p w14:paraId="3187E24D" w14:textId="77777777" w:rsidR="00422882" w:rsidRDefault="004228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8833B" w14:textId="77777777" w:rsidR="00826006" w:rsidRDefault="00000000">
    <w:pPr>
      <w:jc w:val="right"/>
    </w:pPr>
    <w:r>
      <w:fldChar w:fldCharType="begin"/>
    </w:r>
    <w:r>
      <w:rPr>
        <w:rFonts w:eastAsia="Times New Roman"/>
      </w:rPr>
      <w:instrText>PAGE</w:instrText>
    </w:r>
    <w:r>
      <w:fldChar w:fldCharType="separate"/>
    </w:r>
    <w:r w:rsidR="00E068FD">
      <w:rPr>
        <w:rFonts w:eastAsia="Times New Roman"/>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E3FD6"/>
    <w:multiLevelType w:val="hybridMultilevel"/>
    <w:tmpl w:val="857AFCE8"/>
    <w:lvl w:ilvl="0" w:tplc="FC087912">
      <w:start w:val="1"/>
      <w:numFmt w:val="bullet"/>
      <w:lvlText w:val="●"/>
      <w:lvlJc w:val="left"/>
      <w:pPr>
        <w:ind w:left="720" w:hanging="360"/>
      </w:pPr>
    </w:lvl>
    <w:lvl w:ilvl="1" w:tplc="2AA0B7C4">
      <w:start w:val="1"/>
      <w:numFmt w:val="bullet"/>
      <w:lvlText w:val="○"/>
      <w:lvlJc w:val="left"/>
      <w:pPr>
        <w:ind w:left="1440" w:hanging="360"/>
      </w:pPr>
    </w:lvl>
    <w:lvl w:ilvl="2" w:tplc="50CCFAF0">
      <w:start w:val="1"/>
      <w:numFmt w:val="bullet"/>
      <w:lvlText w:val="■"/>
      <w:lvlJc w:val="left"/>
      <w:pPr>
        <w:ind w:left="2160" w:hanging="360"/>
      </w:pPr>
    </w:lvl>
    <w:lvl w:ilvl="3" w:tplc="5E704ED8">
      <w:start w:val="1"/>
      <w:numFmt w:val="bullet"/>
      <w:lvlText w:val="●"/>
      <w:lvlJc w:val="left"/>
      <w:pPr>
        <w:ind w:left="2880" w:hanging="360"/>
      </w:pPr>
    </w:lvl>
    <w:lvl w:ilvl="4" w:tplc="38D47ED0">
      <w:start w:val="1"/>
      <w:numFmt w:val="bullet"/>
      <w:lvlText w:val="○"/>
      <w:lvlJc w:val="left"/>
      <w:pPr>
        <w:ind w:left="3600" w:hanging="360"/>
      </w:pPr>
    </w:lvl>
    <w:lvl w:ilvl="5" w:tplc="5E1EF960">
      <w:start w:val="1"/>
      <w:numFmt w:val="bullet"/>
      <w:lvlText w:val="■"/>
      <w:lvlJc w:val="left"/>
      <w:pPr>
        <w:ind w:left="4320" w:hanging="360"/>
      </w:pPr>
    </w:lvl>
    <w:lvl w:ilvl="6" w:tplc="9D36A132">
      <w:start w:val="1"/>
      <w:numFmt w:val="bullet"/>
      <w:lvlText w:val="●"/>
      <w:lvlJc w:val="left"/>
      <w:pPr>
        <w:ind w:left="5040" w:hanging="360"/>
      </w:pPr>
    </w:lvl>
    <w:lvl w:ilvl="7" w:tplc="9DC2B226">
      <w:start w:val="1"/>
      <w:numFmt w:val="bullet"/>
      <w:lvlText w:val="●"/>
      <w:lvlJc w:val="left"/>
      <w:pPr>
        <w:ind w:left="5760" w:hanging="360"/>
      </w:pPr>
    </w:lvl>
    <w:lvl w:ilvl="8" w:tplc="EB8AA85E">
      <w:start w:val="1"/>
      <w:numFmt w:val="bullet"/>
      <w:lvlText w:val="●"/>
      <w:lvlJc w:val="left"/>
      <w:pPr>
        <w:ind w:left="6480" w:hanging="360"/>
      </w:pPr>
    </w:lvl>
  </w:abstractNum>
  <w:num w:numId="1" w16cid:durableId="15715760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006"/>
    <w:rsid w:val="00422882"/>
    <w:rsid w:val="005F7FD5"/>
    <w:rsid w:val="0063476F"/>
    <w:rsid w:val="00826006"/>
    <w:rsid w:val="00E02910"/>
    <w:rsid w:val="00E068FD"/>
    <w:rsid w:val="00F53C9B"/>
    <w:rsid w:val="00F62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6F9CA8"/>
  <w15:docId w15:val="{4D4E4391-B265-F940-A4B3-A42C2AA1D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Unresolved Mention"/>
    <w:basedOn w:val="a0"/>
    <w:uiPriority w:val="99"/>
    <w:semiHidden/>
    <w:unhideWhenUsed/>
    <w:rsid w:val="005F7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anada.ca/en/employment-social-development/news/2026/09/canada-a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2593</Words>
  <Characters>14784</Characters>
  <Application>Microsoft Office Word</Application>
  <DocSecurity>0</DocSecurity>
  <Lines>123</Lines>
  <Paragraphs>34</Paragraphs>
  <ScaleCrop>false</ScaleCrop>
  <Company/>
  <LinksUpToDate>false</LinksUpToDate>
  <CharactersWithSpaces>17343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Jiecheng Yang</cp:lastModifiedBy>
  <cp:revision>3</cp:revision>
  <dcterms:created xsi:type="dcterms:W3CDTF">2026-10-23T00:26:00Z</dcterms:created>
  <dcterms:modified xsi:type="dcterms:W3CDTF">2026-10-23T00:38:00Z</dcterms:modified>
</cp:coreProperties>
</file>