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49541">
      <w:pPr>
        <w:spacing w:after="80" w:line="264" w:lineRule="auto"/>
        <w:jc w:val="center"/>
      </w:pPr>
      <w:bookmarkStart w:id="0" w:name="_GoBack"/>
      <w:bookmarkEnd w:id="0"/>
      <w:r>
        <w:rPr>
          <w:rFonts w:ascii="Times New Roman" w:hAnsi="Times New Roman" w:eastAsia="Times New Roman" w:cs="Times New Roman"/>
          <w:b/>
          <w:bCs/>
          <w:sz w:val="24"/>
          <w:szCs w:val="24"/>
        </w:rPr>
        <w:t>BC Seminar Participant Report: Who Shapes Indigenous Early Learning?</w:t>
      </w:r>
    </w:p>
    <w:p w14:paraId="59CD9A15">
      <w:pPr>
        <w:spacing w:before="100" w:after="60" w:line="264" w:lineRule="auto"/>
      </w:pPr>
      <w:r>
        <w:rPr>
          <w:rFonts w:ascii="Times New Roman" w:hAnsi="Times New Roman" w:eastAsia="Times New Roman" w:cs="Times New Roman"/>
          <w:b/>
          <w:bCs/>
          <w:sz w:val="24"/>
          <w:szCs w:val="24"/>
        </w:rPr>
        <w:t>Point 1: Visibility Is Not Authority</w:t>
      </w:r>
    </w:p>
    <w:p w14:paraId="29A3D4D4">
      <w:pPr>
        <w:spacing w:after="80" w:line="264" w:lineRule="auto"/>
        <w:ind w:firstLine="720"/>
        <w:jc w:val="left"/>
      </w:pPr>
      <w:r>
        <w:rPr>
          <w:rFonts w:ascii="Times New Roman" w:hAnsi="Times New Roman" w:eastAsia="Times New Roman" w:cs="Times New Roman"/>
          <w:b/>
          <w:bCs/>
          <w:sz w:val="24"/>
          <w:szCs w:val="24"/>
        </w:rPr>
        <w:t xml:space="preserve">Re-tell. </w:t>
      </w:r>
      <w:r>
        <w:rPr>
          <w:rFonts w:ascii="Times New Roman" w:hAnsi="Times New Roman" w:eastAsia="Times New Roman" w:cs="Times New Roman"/>
          <w:sz w:val="24"/>
          <w:szCs w:val="24"/>
        </w:rPr>
        <w:t xml:space="preserve">The </w:t>
      </w:r>
      <w:r>
        <w:rPr>
          <w:rFonts w:ascii="Times New Roman" w:hAnsi="Times New Roman" w:eastAsia="Times New Roman" w:cs="Times New Roman"/>
          <w:i/>
          <w:iCs/>
          <w:sz w:val="24"/>
          <w:szCs w:val="24"/>
        </w:rPr>
        <w:t>British Columbia Early Learning Framework</w:t>
      </w:r>
      <w:r>
        <w:rPr>
          <w:rFonts w:ascii="Times New Roman" w:hAnsi="Times New Roman" w:eastAsia="Times New Roman" w:cs="Times New Roman"/>
          <w:sz w:val="24"/>
          <w:szCs w:val="24"/>
        </w:rPr>
        <w:t xml:space="preserve"> describes the First Peoples Principles of Learning as relational, intergenerational, and tied to identity. It also recognizes that some knowledge is sacred and may be shared only with permission or in certain situations (Government of British Columbia, 2019, p. 43). Later, the framework connects identity with language, family, and heritage, and asks educators to acknowledge ongoing colonial histories and to examine their own biases as part of reconciliation (pp. 84–85).</w:t>
      </w:r>
    </w:p>
    <w:p w14:paraId="55EFE36E">
      <w:pPr>
        <w:spacing w:after="80" w:line="264" w:lineRule="auto"/>
        <w:ind w:firstLine="720"/>
        <w:jc w:val="left"/>
      </w:pPr>
      <w:r>
        <w:rPr>
          <w:rFonts w:ascii="Times New Roman" w:hAnsi="Times New Roman" w:eastAsia="Times New Roman" w:cs="Times New Roman"/>
          <w:b/>
          <w:bCs/>
          <w:sz w:val="24"/>
          <w:szCs w:val="24"/>
        </w:rPr>
        <w:t xml:space="preserve">Relate. </w:t>
      </w:r>
      <w:r>
        <w:rPr>
          <w:rFonts w:ascii="Times New Roman" w:hAnsi="Times New Roman" w:eastAsia="Times New Roman" w:cs="Times New Roman"/>
          <w:sz w:val="24"/>
          <w:szCs w:val="24"/>
        </w:rPr>
        <w:t xml:space="preserve">At Parkdale, I worked with my supervisor, Anna, to select children’s books for the Parent Resource Library. Our choices included </w:t>
      </w:r>
      <w:r>
        <w:rPr>
          <w:i/>
        </w:rPr>
        <w:t>We Sang You Home</w:t>
      </w:r>
      <w:r>
        <w:t xml:space="preserve"> and </w:t>
      </w:r>
      <w:r>
        <w:rPr>
          <w:i/>
        </w:rPr>
        <w:t>Blackflies</w:t>
      </w:r>
      <w:r>
        <w:t>, and we considered Indigenous representation, family relationships, and children’s everyday experiences. I also built a bilingual book list recording each title’s author, age range, and themes. The BC framework raised a question our process did not address. Selecting these books was still our decision, so whose interpretation guides how families and children read them? Placing Indigenous books on a shelf increases representation, but it does not give educators the authority to interpret the knowledge they carry.</w:t>
      </w:r>
    </w:p>
    <w:p w14:paraId="58C857AB">
      <w:pPr>
        <w:spacing w:before="100" w:after="60" w:line="264" w:lineRule="auto"/>
      </w:pPr>
      <w:r>
        <w:rPr>
          <w:rFonts w:ascii="Times New Roman" w:hAnsi="Times New Roman" w:eastAsia="Times New Roman" w:cs="Times New Roman"/>
          <w:b/>
          <w:bCs/>
          <w:sz w:val="24"/>
          <w:szCs w:val="24"/>
        </w:rPr>
        <w:t>Point 2: Community Vision and the Conditions for Access</w:t>
      </w:r>
    </w:p>
    <w:p w14:paraId="1D8AC16A">
      <w:pPr>
        <w:spacing w:after="80" w:line="264" w:lineRule="auto"/>
        <w:ind w:firstLine="720"/>
        <w:jc w:val="left"/>
      </w:pPr>
      <w:r>
        <w:rPr>
          <w:rFonts w:ascii="Times New Roman" w:hAnsi="Times New Roman" w:eastAsia="Times New Roman" w:cs="Times New Roman"/>
          <w:b/>
          <w:bCs/>
          <w:sz w:val="24"/>
          <w:szCs w:val="24"/>
        </w:rPr>
        <w:t xml:space="preserve">Re-tell. </w:t>
      </w:r>
      <w:r>
        <w:rPr>
          <w:rFonts w:ascii="Times New Roman" w:hAnsi="Times New Roman" w:eastAsia="Times New Roman" w:cs="Times New Roman"/>
          <w:sz w:val="24"/>
          <w:szCs w:val="24"/>
        </w:rPr>
        <w:t xml:space="preserve">In </w:t>
      </w:r>
      <w:r>
        <w:rPr>
          <w:rFonts w:ascii="Times New Roman" w:hAnsi="Times New Roman" w:eastAsia="Times New Roman" w:cs="Times New Roman"/>
          <w:i/>
          <w:iCs/>
          <w:sz w:val="24"/>
          <w:szCs w:val="24"/>
        </w:rPr>
        <w:t>Impact Stories</w:t>
      </w:r>
      <w:r>
        <w:rPr>
          <w:rFonts w:ascii="Times New Roman" w:hAnsi="Times New Roman" w:eastAsia="Times New Roman" w:cs="Times New Roman"/>
          <w:sz w:val="24"/>
          <w:szCs w:val="24"/>
        </w:rPr>
        <w:t xml:space="preserve"> (n.d.), a Kwantlen Head Start manager explains that transportation allows children who live across the river to attend a program where Elders share language, cooking, weaving, and dance. In the Nak’azdi Whut’en segment, an educator describes needing a vehicle to take children onto the land and on outings, yet mentions only a possible source of support.</w:t>
      </w:r>
    </w:p>
    <w:p w14:paraId="31007742">
      <w:pPr>
        <w:spacing w:after="80" w:line="264" w:lineRule="auto"/>
        <w:ind w:firstLine="720"/>
        <w:jc w:val="left"/>
      </w:pPr>
      <w:r>
        <w:rPr>
          <w:rFonts w:ascii="Times New Roman" w:hAnsi="Times New Roman" w:eastAsia="Times New Roman" w:cs="Times New Roman"/>
          <w:b/>
          <w:bCs/>
          <w:sz w:val="24"/>
          <w:szCs w:val="24"/>
        </w:rPr>
        <w:t xml:space="preserve">Relate. </w:t>
      </w:r>
      <w:r>
        <w:rPr>
          <w:rFonts w:ascii="Times New Roman" w:hAnsi="Times New Roman" w:eastAsia="Times New Roman" w:cs="Times New Roman"/>
          <w:sz w:val="24"/>
          <w:szCs w:val="24"/>
        </w:rPr>
        <w:t xml:space="preserve">At Parkdale, I observed Anna reminding student educators that land-based learning is not simply taking children outdoors; it requires clear intention, stewardship, and continuity. </w:t>
      </w:r>
      <w:r>
        <w:rPr>
          <w:i/>
        </w:rPr>
        <w:t>Impact Stories</w:t>
      </w:r>
      <w:r>
        <w:t xml:space="preserve"> moved my attention from intention to access. Transportation is what brings Kwantlen children to the Elders’ program, while the Nak’azdi Whut’en educator still needs a vehicle to take children onto the land. Educational intention defines what land-based learning should be, but it does not make that learning possible on its own. Regular access depends on resources that program leaders and funders, not individual educators, are positioned to secure.</w:t>
      </w:r>
    </w:p>
    <w:p w14:paraId="21CEA0F1">
      <w:pPr>
        <w:spacing w:before="100" w:after="60" w:line="264" w:lineRule="auto"/>
      </w:pPr>
      <w:r>
        <w:rPr>
          <w:rFonts w:ascii="Times New Roman" w:hAnsi="Times New Roman" w:eastAsia="Times New Roman" w:cs="Times New Roman"/>
          <w:b/>
          <w:bCs/>
          <w:sz w:val="24"/>
          <w:szCs w:val="24"/>
        </w:rPr>
        <w:t>Pedagogical Question</w:t>
      </w:r>
    </w:p>
    <w:p w14:paraId="363CF4D8">
      <w:pPr>
        <w:spacing w:after="80" w:line="264" w:lineRule="auto"/>
        <w:ind w:firstLine="720"/>
        <w:jc w:val="left"/>
      </w:pPr>
      <w:r>
        <w:rPr>
          <w:rFonts w:ascii="Times New Roman" w:hAnsi="Times New Roman" w:eastAsia="Times New Roman" w:cs="Times New Roman"/>
          <w:i/>
          <w:iCs/>
          <w:sz w:val="24"/>
          <w:szCs w:val="24"/>
        </w:rPr>
        <w:t>How can early childhood educators respect Indigenous communities’ authority over cultural knowledge while working with families and program leaders to address practical barriers, such as transportation, to community-led learning?</w:t>
      </w:r>
    </w:p>
    <w:p w14:paraId="159BC1C6">
      <w:pPr>
        <w:spacing w:before="120" w:after="60" w:line="264" w:lineRule="auto"/>
        <w:jc w:val="center"/>
      </w:pPr>
      <w:r>
        <w:rPr>
          <w:rFonts w:ascii="Times New Roman" w:hAnsi="Times New Roman" w:eastAsia="Times New Roman" w:cs="Times New Roman"/>
          <w:b/>
          <w:bCs/>
          <w:sz w:val="24"/>
          <w:szCs w:val="24"/>
        </w:rPr>
        <w:t>References</w:t>
      </w:r>
    </w:p>
    <w:p w14:paraId="1ECD97CF">
      <w:pPr>
        <w:spacing w:after="80" w:line="264" w:lineRule="auto"/>
        <w:ind w:left="720" w:hanging="720"/>
      </w:pPr>
      <w:r>
        <w:rPr>
          <w:rFonts w:ascii="Times New Roman" w:hAnsi="Times New Roman" w:eastAsia="Times New Roman" w:cs="Times New Roman"/>
          <w:sz w:val="24"/>
          <w:szCs w:val="24"/>
        </w:rPr>
        <w:t xml:space="preserve">Government of British Columbia. (2019). </w:t>
      </w:r>
      <w:r>
        <w:rPr>
          <w:rFonts w:ascii="Times New Roman" w:hAnsi="Times New Roman" w:eastAsia="Times New Roman" w:cs="Times New Roman"/>
          <w:i/>
          <w:iCs/>
          <w:sz w:val="24"/>
          <w:szCs w:val="24"/>
        </w:rPr>
        <w:t>British Columbia early learning framework</w:t>
      </w:r>
      <w:r>
        <w:rPr>
          <w:rFonts w:ascii="Times New Roman" w:hAnsi="Times New Roman" w:eastAsia="Times New Roman" w:cs="Times New Roman"/>
          <w:sz w:val="24"/>
          <w:szCs w:val="24"/>
        </w:rPr>
        <w:t>. https://www2.gov.bc.ca/assets/gov/education/early-learning/teach/earlylearning/early_learning_framework.pdf</w:t>
      </w:r>
    </w:p>
    <w:p w14:paraId="255AC4D3">
      <w:pPr>
        <w:spacing w:after="80" w:line="264" w:lineRule="auto"/>
        <w:ind w:left="720" w:hanging="720"/>
      </w:pPr>
      <w:r>
        <w:rPr>
          <w:rFonts w:ascii="Times New Roman" w:hAnsi="Times New Roman" w:eastAsia="Times New Roman" w:cs="Times New Roman"/>
          <w:i/>
          <w:iCs/>
          <w:sz w:val="24"/>
          <w:szCs w:val="24"/>
        </w:rPr>
        <w:t>Impact stories</w:t>
      </w:r>
      <w:r>
        <w:rPr>
          <w:rFonts w:ascii="Times New Roman" w:hAnsi="Times New Roman" w:eastAsia="Times New Roman" w:cs="Times New Roman"/>
          <w:sz w:val="24"/>
          <w:szCs w:val="24"/>
        </w:rPr>
        <w:t xml:space="preserve"> [Video series]. (n.d.). Retrieved October 2026, from ECL3203 course D2L page, George Brown Polytechnic.</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3E899">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documentProtection w:enforcement="0"/>
  <w:compat>
    <w:useFELayout/>
    <w:compatSetting w:name="compatibilityMode" w:uri="http://schemas.microsoft.com/office/word" w:val="15"/>
  </w:compat>
  <w:rsids>
    <w:rsidRoot w:val="00000000"/>
    <w:rsid w:val="2F7F7C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cp:lastModifiedBy>
  <dcterms:modified xsi:type="dcterms:W3CDTF">2026-10-13T04:44:46Z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F89D2BCB7E3091449E0BCE6A24E5D6CE_42</vt:lpwstr>
  </property>
</Properties>
</file>