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149541">
      <w:pPr>
        <w:spacing w:after="80" w:line="264" w:lineRule="auto"/>
        <w:jc w:val="center"/>
      </w:pPr>
      <w:bookmarkStart w:id="0" w:name="_GoBack"/>
      <w:bookmarkEnd w:id="0"/>
      <w:r>
        <w:rPr>
          <w:rFonts w:ascii="Times New Roman" w:hAnsi="Times New Roman" w:eastAsia="Times New Roman" w:cs="Times New Roman"/>
          <w:b/>
          <w:bCs/>
          <w:sz w:val="24"/>
          <w:szCs w:val="24"/>
        </w:rPr>
        <w:t>BC Seminar Participant Report: Who Shapes Indigenous Early Learning?</w:t>
      </w:r>
    </w:p>
    <w:p w14:paraId="59CD9A15">
      <w:pPr>
        <w:spacing w:before="100" w:after="60" w:line="264" w:lineRule="auto"/>
      </w:pPr>
      <w:r>
        <w:rPr>
          <w:rFonts w:ascii="Times New Roman" w:hAnsi="Times New Roman" w:eastAsia="Times New Roman" w:cs="Times New Roman"/>
          <w:b/>
          <w:bCs/>
          <w:sz w:val="24"/>
          <w:szCs w:val="24"/>
        </w:rPr>
        <w:t>Point 1: Visibility Is Not Authority</w:t>
      </w:r>
    </w:p>
    <w:p w14:paraId="29A3D4D4">
      <w:pPr>
        <w:spacing w:after="80" w:line="264" w:lineRule="auto"/>
        <w:ind w:firstLine="720"/>
        <w:jc w:val="left"/>
      </w:pPr>
      <w:r>
        <w:rPr>
          <w:rFonts w:ascii="Times New Roman" w:hAnsi="Times New Roman" w:eastAsia="Times New Roman" w:cs="Times New Roman"/>
          <w:b/>
          <w:bCs/>
          <w:sz w:val="24"/>
          <w:szCs w:val="24"/>
        </w:rPr>
        <w:t xml:space="preserve">Re-tell. </w:t>
      </w:r>
      <w:r>
        <w:rPr>
          <w:rFonts w:ascii="Times New Roman" w:hAnsi="Times New Roman" w:eastAsia="Times New Roman" w:cs="Times New Roman"/>
          <w:sz w:val="24"/>
          <w:szCs w:val="24"/>
        </w:rPr>
        <w:t xml:space="preserve">The </w:t>
      </w:r>
      <w:r>
        <w:rPr>
          <w:rFonts w:ascii="Times New Roman" w:hAnsi="Times New Roman" w:eastAsia="Times New Roman" w:cs="Times New Roman"/>
          <w:i/>
          <w:iCs/>
          <w:sz w:val="24"/>
          <w:szCs w:val="24"/>
        </w:rPr>
        <w:t>British Columbia Early Learning Framework</w:t>
      </w:r>
      <w:r>
        <w:rPr>
          <w:rFonts w:ascii="Times New Roman" w:hAnsi="Times New Roman" w:eastAsia="Times New Roman" w:cs="Times New Roman"/>
          <w:sz w:val="24"/>
          <w:szCs w:val="24"/>
        </w:rPr>
        <w:t xml:space="preserve"> describes the First Peoples Principles of Learning as relational, intergenerational, and tied to identity. It also recognizes that some knowledge is sacred and may be shared only with permission or in certain situations (Government of British Columbia, 2019, p. 43). Later, the framework connects identity with language, family, and heritage, and asks educators to acknowledge ongoing colonial histories and to examine their own biases as part of reconciliation (pp. 84–85).</w:t>
      </w:r>
    </w:p>
    <w:p w14:paraId="55EFE36E">
      <w:pPr>
        <w:spacing w:after="80" w:line="264" w:lineRule="auto"/>
        <w:ind w:firstLine="720"/>
        <w:jc w:val="left"/>
      </w:pPr>
      <w:r>
        <w:rPr>
          <w:rFonts w:ascii="Times New Roman" w:hAnsi="Times New Roman" w:eastAsia="Times New Roman" w:cs="Times New Roman"/>
          <w:b/>
          <w:bCs/>
          <w:sz w:val="24"/>
          <w:szCs w:val="24"/>
        </w:rPr>
        <w:t xml:space="preserve">Relate. </w:t>
      </w:r>
      <w:r>
        <w:rPr>
          <w:rFonts w:ascii="Times New Roman" w:hAnsi="Times New Roman" w:eastAsia="Times New Roman" w:cs="Times New Roman"/>
          <w:sz w:val="24"/>
          <w:szCs w:val="24"/>
        </w:rPr>
        <w:t>During my internship at Parkdale Child Care Centre, I reviewed Storypark learning stories and decided that connecting a child’s magnetic-tile tower to an Indigenous framework would have been tokenistic. In my view, the framework belonged only where it honestly matched what children were doing. The BC framework pushed me to take this judgment a step further. Deciding where a framework fits is still my own interpretation, and displaying or applying Indigenous content does not by itself give an educator the authority to interpret or share it. Respectful practice also depends on asking whose knowledge it is, who may share it, and under what protocols.</w:t>
      </w:r>
    </w:p>
    <w:p w14:paraId="58C857AB">
      <w:pPr>
        <w:spacing w:before="100" w:after="60" w:line="264" w:lineRule="auto"/>
      </w:pPr>
      <w:r>
        <w:rPr>
          <w:rFonts w:ascii="Times New Roman" w:hAnsi="Times New Roman" w:eastAsia="Times New Roman" w:cs="Times New Roman"/>
          <w:b/>
          <w:bCs/>
          <w:sz w:val="24"/>
          <w:szCs w:val="24"/>
        </w:rPr>
        <w:t>Point 2: Community Vision and the Conditions for Access</w:t>
      </w:r>
    </w:p>
    <w:p w14:paraId="1D8AC16A">
      <w:pPr>
        <w:spacing w:after="80" w:line="264" w:lineRule="auto"/>
        <w:ind w:firstLine="720"/>
        <w:jc w:val="left"/>
      </w:pPr>
      <w:r>
        <w:rPr>
          <w:rFonts w:ascii="Times New Roman" w:hAnsi="Times New Roman" w:eastAsia="Times New Roman" w:cs="Times New Roman"/>
          <w:b/>
          <w:bCs/>
          <w:sz w:val="24"/>
          <w:szCs w:val="24"/>
        </w:rPr>
        <w:t xml:space="preserve">Re-tell. </w:t>
      </w:r>
      <w:r>
        <w:rPr>
          <w:rFonts w:ascii="Times New Roman" w:hAnsi="Times New Roman" w:eastAsia="Times New Roman" w:cs="Times New Roman"/>
          <w:sz w:val="24"/>
          <w:szCs w:val="24"/>
        </w:rPr>
        <w:t xml:space="preserve">In </w:t>
      </w:r>
      <w:r>
        <w:rPr>
          <w:rFonts w:ascii="Times New Roman" w:hAnsi="Times New Roman" w:eastAsia="Times New Roman" w:cs="Times New Roman"/>
          <w:i/>
          <w:iCs/>
          <w:sz w:val="24"/>
          <w:szCs w:val="24"/>
        </w:rPr>
        <w:t>Impact Stories</w:t>
      </w:r>
      <w:r>
        <w:rPr>
          <w:rFonts w:ascii="Times New Roman" w:hAnsi="Times New Roman" w:eastAsia="Times New Roman" w:cs="Times New Roman"/>
          <w:sz w:val="24"/>
          <w:szCs w:val="24"/>
        </w:rPr>
        <w:t xml:space="preserve"> (n.d.), a Kwantlen Head Start manager explains that transportation allows children who live across the river to attend a program where Elders share language, cooking, weaving, and dance. In the Nak’azdi Whut’en segment, an educator describes needing a vehicle to take children onto the land and on outings, yet mentions only a possible source of support.</w:t>
      </w:r>
    </w:p>
    <w:p w14:paraId="31007742">
      <w:pPr>
        <w:spacing w:after="80" w:line="264" w:lineRule="auto"/>
        <w:ind w:firstLine="720"/>
        <w:jc w:val="left"/>
      </w:pPr>
      <w:r>
        <w:rPr>
          <w:rFonts w:ascii="Times New Roman" w:hAnsi="Times New Roman" w:eastAsia="Times New Roman" w:cs="Times New Roman"/>
          <w:b/>
          <w:bCs/>
          <w:sz w:val="24"/>
          <w:szCs w:val="24"/>
        </w:rPr>
        <w:t xml:space="preserve">Relate. </w:t>
      </w:r>
      <w:r>
        <w:rPr>
          <w:rFonts w:ascii="Times New Roman" w:hAnsi="Times New Roman" w:eastAsia="Times New Roman" w:cs="Times New Roman"/>
          <w:sz w:val="24"/>
          <w:szCs w:val="24"/>
        </w:rPr>
        <w:t>This contrast in transportation reminded me of a Toronto Zoo excursion during my internship. Before I rode the school bus with nine Kindergarten 1 children, my supervisor and the team had already arranged buses, staffing, family volunteers, meals, and a weather backup plan. A zoo trip is not Indigenous land-based learning. Still, both cases suggest that practical resources, especially transportation, sit between an educational vision and children’s actual participation. One educator’s goodwill cannot remove these barriers alone; program leaders and funders need to share that responsibility.</w:t>
      </w:r>
    </w:p>
    <w:p w14:paraId="21CEA0F1">
      <w:pPr>
        <w:spacing w:before="100" w:after="60" w:line="264" w:lineRule="auto"/>
      </w:pPr>
      <w:r>
        <w:rPr>
          <w:rFonts w:ascii="Times New Roman" w:hAnsi="Times New Roman" w:eastAsia="Times New Roman" w:cs="Times New Roman"/>
          <w:b/>
          <w:bCs/>
          <w:sz w:val="24"/>
          <w:szCs w:val="24"/>
        </w:rPr>
        <w:t>Pedagogical Question</w:t>
      </w:r>
    </w:p>
    <w:p w14:paraId="363CF4D8">
      <w:pPr>
        <w:spacing w:after="80" w:line="264" w:lineRule="auto"/>
        <w:ind w:firstLine="720"/>
        <w:jc w:val="left"/>
      </w:pPr>
      <w:r>
        <w:rPr>
          <w:rFonts w:ascii="Times New Roman" w:hAnsi="Times New Roman" w:eastAsia="Times New Roman" w:cs="Times New Roman"/>
          <w:i/>
          <w:iCs/>
          <w:sz w:val="24"/>
          <w:szCs w:val="24"/>
        </w:rPr>
        <w:t>How can early childhood educators respect Indigenous communities’ authority over cultural knowledge while working with families and program leaders to address practical barriers, such as transportation, to community-led learning?</w:t>
      </w:r>
    </w:p>
    <w:p w14:paraId="159BC1C6">
      <w:pPr>
        <w:spacing w:before="120" w:after="60" w:line="264" w:lineRule="auto"/>
        <w:jc w:val="center"/>
      </w:pPr>
      <w:r>
        <w:rPr>
          <w:rFonts w:ascii="Times New Roman" w:hAnsi="Times New Roman" w:eastAsia="Times New Roman" w:cs="Times New Roman"/>
          <w:b/>
          <w:bCs/>
          <w:sz w:val="24"/>
          <w:szCs w:val="24"/>
        </w:rPr>
        <w:t>References</w:t>
      </w:r>
    </w:p>
    <w:p w14:paraId="1ECD97CF">
      <w:pPr>
        <w:spacing w:after="80" w:line="264" w:lineRule="auto"/>
        <w:ind w:left="720" w:hanging="720"/>
      </w:pPr>
      <w:r>
        <w:rPr>
          <w:rFonts w:ascii="Times New Roman" w:hAnsi="Times New Roman" w:eastAsia="Times New Roman" w:cs="Times New Roman"/>
          <w:sz w:val="24"/>
          <w:szCs w:val="24"/>
        </w:rPr>
        <w:t xml:space="preserve">Government of British Columbia. (2019). </w:t>
      </w:r>
      <w:r>
        <w:rPr>
          <w:rFonts w:ascii="Times New Roman" w:hAnsi="Times New Roman" w:eastAsia="Times New Roman" w:cs="Times New Roman"/>
          <w:i/>
          <w:iCs/>
          <w:sz w:val="24"/>
          <w:szCs w:val="24"/>
        </w:rPr>
        <w:t>British Columbia early learning framework</w:t>
      </w:r>
      <w:r>
        <w:rPr>
          <w:rFonts w:ascii="Times New Roman" w:hAnsi="Times New Roman" w:eastAsia="Times New Roman" w:cs="Times New Roman"/>
          <w:sz w:val="24"/>
          <w:szCs w:val="24"/>
        </w:rPr>
        <w:t>. https://www2.gov.bc.ca/assets/gov/education/early-learning/teach/earlylearning/early_learning_framework.pdf</w:t>
      </w:r>
    </w:p>
    <w:p w14:paraId="255AC4D3">
      <w:pPr>
        <w:spacing w:after="80" w:line="264" w:lineRule="auto"/>
        <w:ind w:left="720" w:hanging="720"/>
      </w:pPr>
      <w:r>
        <w:rPr>
          <w:rFonts w:ascii="Times New Roman" w:hAnsi="Times New Roman" w:eastAsia="Times New Roman" w:cs="Times New Roman"/>
          <w:i/>
          <w:iCs/>
          <w:sz w:val="24"/>
          <w:szCs w:val="24"/>
        </w:rPr>
        <w:t>Impact stories</w:t>
      </w:r>
      <w:r>
        <w:rPr>
          <w:rFonts w:ascii="Times New Roman" w:hAnsi="Times New Roman" w:eastAsia="Times New Roman" w:cs="Times New Roman"/>
          <w:sz w:val="24"/>
          <w:szCs w:val="24"/>
        </w:rPr>
        <w:t xml:space="preserve"> [Video series]. (n.d.). Retrieved October 2026, from ECL3203 course D2L page, George Brown Polytechnic.</w:t>
      </w:r>
    </w:p>
    <w:sectPr>
      <w:headerReference r:id="rId3"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63E899">
    <w:pPr>
      <w:jc w:val="right"/>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PAGE</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displayBackgroundShape w:val="1"/>
  <w:documentProtection w:enforcement="0"/>
  <w:compat>
    <w:useFELayout/>
    <w:compatSetting w:name="compatibilityMode" w:uri="http://schemas.microsoft.com/office/word" w:val="15"/>
  </w:compat>
  <w:rsids>
    <w:rsidRoot w:val="00000000"/>
    <w:rsid w:val="2F7F7C6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4"/>
      <w:szCs w:val="24"/>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7"/>
    <w:semiHidden/>
    <w:unhideWhenUsed/>
    <w:uiPriority w:val="99"/>
    <w:pPr>
      <w:spacing w:after="0" w:line="240" w:lineRule="auto"/>
    </w:pPr>
    <w:rPr>
      <w:rFonts w:ascii="Times New Roman" w:hAnsi="Times New Roman" w:eastAsia="Times New Roman" w:cs="Times New Roman"/>
      <w:sz w:val="20"/>
      <w:szCs w:val="20"/>
    </w:rPr>
  </w:style>
  <w:style w:type="paragraph" w:styleId="10">
    <w:name w:val="Title"/>
    <w:qFormat/>
    <w:uiPriority w:val="0"/>
    <w:rPr>
      <w:rFonts w:ascii="Times New Roman" w:hAnsi="Times New Roman" w:eastAsia="Times New Roman" w:cs="Times New Roman"/>
      <w:sz w:val="56"/>
      <w:szCs w:val="56"/>
    </w:rPr>
  </w:style>
  <w:style w:type="character" w:styleId="13">
    <w:name w:val="endnote reference"/>
    <w:semiHidden/>
    <w:unhideWhenUsed/>
    <w:uiPriority w:val="99"/>
    <w:rPr>
      <w:vertAlign w:val="superscript"/>
    </w:rPr>
  </w:style>
  <w:style w:type="character" w:styleId="14">
    <w:name w:val="Hyperlink"/>
    <w:unhideWhenUsed/>
    <w:uiPriority w:val="99"/>
    <w:rPr>
      <w:color w:val="0563C1"/>
      <w:u w:val="single"/>
    </w:rPr>
  </w:style>
  <w:style w:type="character" w:styleId="15">
    <w:name w:val="footnote reference"/>
    <w:semiHidden/>
    <w:unhideWhenUsed/>
    <w:uiPriority w:val="99"/>
    <w:rPr>
      <w:vertAlign w:val="superscript"/>
    </w:rPr>
  </w:style>
  <w:style w:type="paragraph" w:styleId="16">
    <w:name w:val="List Paragraph"/>
    <w:qFormat/>
    <w:uiPriority w:val="0"/>
    <w:rPr>
      <w:rFonts w:ascii="Times New Roman" w:hAnsi="Times New Roman" w:eastAsia="Times New Roman" w:cs="Times New Roman"/>
      <w:sz w:val="24"/>
      <w:szCs w:val="24"/>
    </w:rPr>
  </w:style>
  <w:style w:type="character" w:customStyle="1" w:styleId="17">
    <w:name w:val="Footnote Text Char"/>
    <w:link w:val="9"/>
    <w:semiHidden/>
    <w:unhideWhenUsed/>
    <w:uiPriority w:val="99"/>
    <w:rPr>
      <w:sz w:val="20"/>
      <w:szCs w:val="20"/>
    </w:rPr>
  </w:style>
  <w:style w:type="character" w:customStyle="1" w:styleId="18">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Pages>
  <TotalTime>0</TotalTime>
  <ScaleCrop>false</ScaleCrop>
  <LinksUpToDate>false</LinksUpToDate>
  <Application>WPS Office_12.1.28496.28496_F1E327BC-269C-435d-A152-05C5408002CA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Jay</cp:lastModifiedBy>
  <dcterms:modified xsi:type="dcterms:W3CDTF">2026-10-13T04:44:46Z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F89D2BCB7E3091449E0BCE6A24E5D6CE_42</vt:lpwstr>
  </property>
</Properties>
</file>