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4D3E"/>
          <w:sz w:val="24"/>
          <w:szCs w:val="24"/>
        </w:rPr>
        <w:t xml:space="preserve">ELITE ÉCOLE HÔTELIÈRE ET TOURISTIQUE</w:t>
      </w:r>
    </w:p>
    <w:p>
      <w:pPr>
        <w:spacing w:after="320"/>
      </w:pPr>
      <w:r>
        <w:rPr>
          <w:i/>
          <w:iCs/>
          <w:color w:val="555555"/>
          <w:sz w:val="20"/>
          <w:szCs w:val="20"/>
        </w:rPr>
        <w:t xml:space="preserve">EEHT — Dakar, République du Sénégal</w:t>
      </w:r>
    </w:p>
    <w:p>
      <w:pPr>
        <w:spacing w:after="120" w:before="900"/>
        <w:jc w:val="center"/>
      </w:pPr>
      <w:r>
        <w:rPr>
          <w:b/>
          <w:bCs/>
          <w:color w:val="1B4D3E"/>
          <w:sz w:val="44"/>
          <w:szCs w:val="44"/>
        </w:rPr>
        <w:t xml:space="preserve">RAPPORT FINAL DE PROJET</w:t>
      </w:r>
    </w:p>
    <w:p>
      <w:pPr>
        <w:spacing w:after="60"/>
        <w:jc w:val="center"/>
      </w:pPr>
      <w:r>
        <w:rPr>
          <w:color w:val="1A1A1A"/>
          <w:sz w:val="24"/>
          <w:szCs w:val="24"/>
        </w:rPr>
        <w:t xml:space="preserve">Plateforme numérique de gestion scolaire, d'admissions en ligne</w:t>
      </w:r>
    </w:p>
    <w:p>
      <w:pPr>
        <w:spacing w:after="500"/>
        <w:jc w:val="center"/>
      </w:pPr>
      <w:r>
        <w:rPr>
          <w:color w:val="1A1A1A"/>
          <w:sz w:val="24"/>
          <w:szCs w:val="24"/>
        </w:rPr>
        <w:t xml:space="preserve">et de vitrine institutionnelle de l'EEHT</w:t>
      </w:r>
    </w:p>
    <w:p>
      <w:pPr>
        <w:pBdr>
          <w:top w:val="single" w:color="D9822B" w:sz="12" w:space="8"/>
        </w:pBdr>
        <w:spacing w:after="40"/>
        <w:jc w:val="center"/>
      </w:pPr>
      <w:r>
        <w:t xml:space="preserve"/>
      </w:r>
    </w:p>
    <w:p>
      <w:pPr>
        <w:spacing w:after="60" w:before="500"/>
        <w:jc w:val="center"/>
      </w:pPr>
      <w:r>
        <w:rPr>
          <w:b/>
          <w:bCs/>
          <w:sz w:val="22"/>
          <w:szCs w:val="22"/>
        </w:rPr>
        <w:t xml:space="preserve">Transmis à l'attention de</w:t>
      </w:r>
    </w:p>
    <w:p>
      <w:pPr>
        <w:spacing w:after="40"/>
        <w:jc w:val="center"/>
      </w:pPr>
      <w:r>
        <w:rPr>
          <w:sz w:val="21"/>
          <w:szCs w:val="21"/>
        </w:rPr>
        <w:t xml:space="preserve">Son Excellence Monsieur le Président de la République du Sénégal</w:t>
      </w:r>
    </w:p>
    <w:p>
      <w:pPr>
        <w:spacing w:after="40"/>
        <w:jc w:val="center"/>
      </w:pPr>
      <w:r>
        <w:rPr>
          <w:sz w:val="21"/>
          <w:szCs w:val="21"/>
        </w:rPr>
        <w:t xml:space="preserve">Monsieur le Ministre du Tourisme</w:t>
      </w:r>
    </w:p>
    <w:p>
      <w:pPr>
        <w:spacing w:after="400"/>
        <w:jc w:val="center"/>
      </w:pPr>
      <w:r>
        <w:rPr>
          <w:sz w:val="21"/>
          <w:szCs w:val="21"/>
        </w:rPr>
        <w:t xml:space="preserve">Monsieur le Ministre des Finances et du Budget</w:t>
      </w:r>
    </w:p>
    <w:p>
      <w:pPr>
        <w:spacing w:before="900"/>
        <w:jc w:val="center"/>
      </w:pPr>
      <w:r>
        <w:rPr>
          <w:color w:val="555555"/>
          <w:sz w:val="20"/>
          <w:szCs w:val="20"/>
        </w:rPr>
        <w:t xml:space="preserve">Dakar, le 3 septembre 2026</w:t>
      </w:r>
    </w:p>
    <w:p>
      <w:r>
        <w:br w:type="page"/>
      </w:r>
    </w:p>
    <w:p>
      <w:pPr>
        <w:sectPr>
          <w:pgSz w:w="11906" w:h="16838" w:orient="portrait"/>
          <w:pgMar w:top="1100" w:right="1200" w:bottom="1100" w:left="1200" w:header="708" w:footer="708" w:gutter="0"/>
          <w:pgNumType/>
          <w:docGrid w:linePitch="360"/>
        </w:sectPr>
      </w:pPr>
    </w:p>
    <w:p>
      <w:pPr>
        <w:spacing w:after="40"/>
      </w:pPr>
      <w:r>
        <w:rPr>
          <w:b/>
          <w:bCs/>
          <w:sz w:val="21"/>
          <w:szCs w:val="21"/>
        </w:rPr>
        <w:t xml:space="preserve">Elite École Hôtelière et Touristique (EEHT)</w:t>
      </w:r>
    </w:p>
    <w:p>
      <w:pPr>
        <w:spacing w:after="40"/>
      </w:pPr>
      <w:r>
        <w:rPr>
          <w:sz w:val="20"/>
          <w:szCs w:val="20"/>
        </w:rPr>
        <w:t xml:space="preserve">Direction Générale</w:t>
      </w:r>
    </w:p>
    <w:p>
      <w:pPr>
        <w:spacing w:after="320"/>
      </w:pPr>
      <w:r>
        <w:rPr>
          <w:sz w:val="20"/>
          <w:szCs w:val="20"/>
        </w:rPr>
        <w:t xml:space="preserve">Dakar, Sénégal</w:t>
      </w:r>
    </w:p>
    <w:p>
      <w:pPr>
        <w:spacing w:after="320"/>
        <w:jc w:val="right"/>
      </w:pPr>
      <w:r>
        <w:rPr>
          <w:sz w:val="20"/>
          <w:szCs w:val="20"/>
        </w:rPr>
        <w:t xml:space="preserve">Dakar, le 3 septembre 2026</w:t>
      </w:r>
    </w:p>
    <w:p>
      <w:pPr>
        <w:spacing w:after="40"/>
      </w:pPr>
      <w:r>
        <w:rPr>
          <w:sz w:val="21"/>
          <w:szCs w:val="21"/>
        </w:rPr>
        <w:t xml:space="preserve">À Son Excellence Monsieur le Président de la République du Sénégal</w:t>
      </w:r>
    </w:p>
    <w:p>
      <w:pPr>
        <w:spacing w:after="40"/>
      </w:pPr>
      <w:r>
        <w:rPr>
          <w:sz w:val="21"/>
          <w:szCs w:val="21"/>
        </w:rPr>
        <w:t xml:space="preserve">À Monsieur le Ministre du Tourisme</w:t>
      </w:r>
    </w:p>
    <w:p>
      <w:pPr>
        <w:spacing w:after="320"/>
      </w:pPr>
      <w:r>
        <w:rPr>
          <w:sz w:val="21"/>
          <w:szCs w:val="21"/>
        </w:rPr>
        <w:t xml:space="preserve">À Monsieur le Ministre des Finances et du Budget</w:t>
      </w:r>
    </w:p>
    <w:p>
      <w:pPr>
        <w:spacing w:after="240"/>
      </w:pPr>
      <w:r>
        <w:rPr>
          <w:b/>
          <w:bCs/>
          <w:sz w:val="21"/>
          <w:szCs w:val="21"/>
        </w:rPr>
        <w:t xml:space="preserve">Objet : Transmission du rapport final du projet de digitalisation de l'EEHT</w:t>
      </w:r>
    </w:p>
    <w:p>
      <w:pPr>
        <w:spacing w:after="200"/>
      </w:pPr>
      <w:r>
        <w:rPr>
          <w:sz w:val="21"/>
          <w:szCs w:val="21"/>
        </w:rPr>
        <w:t xml:space="preserve">Excellence, Monsieur le Ministre du Tourisme, Monsieur le Ministre des Finances et du Budget,</w:t>
      </w:r>
    </w:p>
    <w:p>
      <w:pPr>
        <w:spacing w:after="160" w:line="300"/>
        <w:jc w:val="both"/>
      </w:pPr>
      <w:r>
        <w:rPr>
          <w:sz w:val="21"/>
          <w:szCs w:val="21"/>
        </w:rPr>
        <w:t xml:space="preserve">J'ai l'honneur de vous transmettre, ci-joint, le rapport final relatif au projet de digitalisation de l'Elite École Hôtelière et Touristique (EEHT), portant sur la conception et la mise en œuvre d'une plateforme numérique intégrée de gestion scolaire, d'admissions en ligne et de vitrine institutionnelle.</w:t>
      </w:r>
    </w:p>
    <w:p>
      <w:pPr>
        <w:spacing w:after="160" w:line="300"/>
        <w:jc w:val="both"/>
      </w:pPr>
      <w:r>
        <w:rPr>
          <w:sz w:val="21"/>
          <w:szCs w:val="21"/>
        </w:rPr>
        <w:t xml:space="preserve">Ce projet s'inscrit dans une dynamique de modernisation de la formation professionnelle aux métiers de l'hôtellerie et du tourisme, secteur stratégique pour l'économie nationale et pourvoyeur d'emplois qualifiés, et vise à renforcer la qualité, la transparence et l'attractivité de notre établissement auprès des candidats, des familles et des partenaires.</w:t>
      </w:r>
    </w:p>
    <w:p>
      <w:pPr>
        <w:spacing w:after="160" w:line="300"/>
        <w:jc w:val="both"/>
      </w:pPr>
      <w:r>
        <w:rPr>
          <w:sz w:val="21"/>
          <w:szCs w:val="21"/>
        </w:rPr>
        <w:t xml:space="preserve">Vous trouverez, dans les pages suivantes, la présentation détaillée du contexte, des objectifs, du périmètre fonctionnel livré, de l'état d'avancement — désormais achevé à 100 % — ainsi que les recommandations et prochaines étapes issues de ce projet.</w:t>
      </w:r>
    </w:p>
    <w:p>
      <w:pPr>
        <w:spacing w:after="160" w:line="300"/>
        <w:jc w:val="both"/>
      </w:pPr>
      <w:r>
        <w:rPr>
          <w:sz w:val="21"/>
          <w:szCs w:val="21"/>
        </w:rPr>
        <w:t xml:space="preserve">La Direction de l'EEHT, convaincue de l'intérêt national d'une telle initiative pour l'accompagnement de la jeunesse sénégalaise vers les métiers du tourisme et de l'hôtellerie, reste pleinement disponible pour tout échange complémentaire ou visite de présentation de la plateforme.</w:t>
      </w:r>
    </w:p>
    <w:p>
      <w:pPr>
        <w:spacing w:after="160" w:line="300"/>
        <w:jc w:val="both"/>
      </w:pPr>
      <w:r>
        <w:rPr>
          <w:sz w:val="21"/>
          <w:szCs w:val="21"/>
        </w:rPr>
        <w:t xml:space="preserve">Je vous prie d'agréer, Excellence, Messieurs les Ministres, l'expression de ma très haute considération.</w:t>
      </w:r>
    </w:p>
    <w:p>
      <w:pPr>
        <w:spacing w:after="40" w:before="400"/>
        <w:jc w:val="right"/>
      </w:pPr>
      <w:r>
        <w:rPr>
          <w:b/>
          <w:bCs/>
          <w:sz w:val="21"/>
          <w:szCs w:val="21"/>
        </w:rPr>
        <w:t xml:space="preserve">Le Directeur / La Directrice de l'EEHT</w:t>
      </w:r>
    </w:p>
    <w:p>
      <w:pPr>
        <w:spacing w:after="40"/>
        <w:jc w:val="right"/>
      </w:pPr>
      <w:r>
        <w:rPr>
          <w:i/>
          <w:iCs/>
          <w:color w:val="555555"/>
          <w:sz w:val="20"/>
          <w:szCs w:val="20"/>
        </w:rPr>
        <w:t xml:space="preserve">[Nom et signature]</w:t>
      </w:r>
    </w:p>
    <w:p>
      <w:r>
        <w:br w:type="page"/>
      </w:r>
    </w:p>
    <w:p>
      <w:pPr>
        <w:pStyle w:val="Heading1"/>
        <w:pBdr>
          <w:bottom w:val="single" w:color="1B4D3E" w:sz="6" w:space="4"/>
        </w:pBdr>
        <w:spacing w:after="160" w:before="360"/>
      </w:pPr>
      <w:r>
        <w:rPr>
          <w:b/>
          <w:bCs/>
          <w:color w:val="1B4D3E"/>
          <w:sz w:val="26"/>
          <w:szCs w:val="26"/>
        </w:rPr>
        <w:t xml:space="preserve">1. Contexte et présentation de l'établissement</w:t>
      </w:r>
    </w:p>
    <w:p>
      <w:pPr>
        <w:spacing w:after="160" w:line="300"/>
        <w:jc w:val="both"/>
      </w:pPr>
      <w:r>
        <w:rPr>
          <w:sz w:val="21"/>
          <w:szCs w:val="21"/>
        </w:rPr>
        <w:t xml:space="preserve">L'Elite École Hôtelière et Touristique (EEHT) est un établissement de formation professionnelle basé à Dakar, dédié aux métiers de l'hôtellerie, de la restauration et du tourisme. L'établissement propose des parcours diplômants et qualifiants (CAP, BEP, BT, BTS) ainsi que des formations modulaires courtes, répondant aux besoins d'un secteur en forte croissance et créateur d'emplois pour la jeunesse sénégalaise.</w:t>
      </w:r>
    </w:p>
    <w:p>
      <w:pPr>
        <w:spacing w:after="160" w:line="300"/>
        <w:jc w:val="both"/>
      </w:pPr>
      <w:r>
        <w:rPr>
          <w:sz w:val="21"/>
          <w:szCs w:val="21"/>
        </w:rPr>
        <w:t xml:space="preserve">Comme de nombreux établissements de formation professionnelle, l'EEHT reposait jusqu'ici sur des processus majoritairement manuels pour la gestion des candidatures, de la scolarité, des finances et des documents officiels — une organisation coûteuse en temps, difficile à superviser et peu lisible pour les familles et les partenaires.</w:t>
      </w:r>
    </w:p>
    <w:p>
      <w:pPr>
        <w:pStyle w:val="Heading1"/>
        <w:pBdr>
          <w:bottom w:val="single" w:color="1B4D3E" w:sz="6" w:space="4"/>
        </w:pBdr>
        <w:spacing w:after="160" w:before="360"/>
      </w:pPr>
      <w:r>
        <w:rPr>
          <w:b/>
          <w:bCs/>
          <w:color w:val="1B4D3E"/>
          <w:sz w:val="26"/>
          <w:szCs w:val="26"/>
        </w:rPr>
        <w:t xml:space="preserve">2. Justification et objectifs du projet</w:t>
      </w:r>
    </w:p>
    <w:p>
      <w:pPr>
        <w:spacing w:after="160" w:line="300"/>
        <w:jc w:val="both"/>
      </w:pPr>
      <w:r>
        <w:rPr>
          <w:sz w:val="21"/>
          <w:szCs w:val="21"/>
        </w:rPr>
        <w:t xml:space="preserve">Le projet répond à la nécessité de doter l'EEHT d'un outil numérique unique, moderne et évolutif, permettant de couvrir l'intégralité du parcours de l'apprenant — de la découverte de l'offre de formation jusqu'à la délivrance des documents de fin de cursus — tout en professionnalisant la gestion administrative et financière de l'établissement.</w:t>
      </w:r>
    </w:p>
    <w:p>
      <w:pPr>
        <w:spacing w:after="160" w:line="300"/>
        <w:jc w:val="both"/>
      </w:pPr>
      <w:r>
        <w:rPr>
          <w:sz w:val="21"/>
          <w:szCs w:val="21"/>
        </w:rPr>
        <w:t xml:space="preserve">Les objectifs assignés au projet sont les suivants :</w:t>
      </w:r>
    </w:p>
    <w:p>
      <w:pPr>
        <w:pStyle w:val="ListParagraph"/>
        <w:numPr>
          <w:ilvl w:val="0"/>
          <w:numId w:val="2"/>
        </w:numPr>
        <w:spacing w:after="100" w:line="280"/>
      </w:pPr>
      <w:r>
        <w:rPr>
          <w:sz w:val="21"/>
          <w:szCs w:val="21"/>
        </w:rPr>
        <w:t xml:space="preserve">Digitaliser l'ensemble du parcours de l'étudiant : candidature en ligne, inscription, vie académique, vie financière, délivrance de documents ;</w:t>
      </w:r>
    </w:p>
    <w:p>
      <w:pPr>
        <w:pStyle w:val="ListParagraph"/>
        <w:numPr>
          <w:ilvl w:val="0"/>
          <w:numId w:val="2"/>
        </w:numPr>
        <w:spacing w:after="100" w:line="280"/>
      </w:pPr>
      <w:r>
        <w:rPr>
          <w:sz w:val="21"/>
          <w:szCs w:val="21"/>
        </w:rPr>
        <w:t xml:space="preserve">Offrir une vitrine institutionnelle moderne présentant l'établissement, ses formations, ses actualités et ses infrastructures ;</w:t>
      </w:r>
    </w:p>
    <w:p>
      <w:pPr>
        <w:pStyle w:val="ListParagraph"/>
        <w:numPr>
          <w:ilvl w:val="0"/>
          <w:numId w:val="2"/>
        </w:numPr>
        <w:spacing w:after="100" w:line="280"/>
      </w:pPr>
      <w:r>
        <w:rPr>
          <w:sz w:val="21"/>
          <w:szCs w:val="21"/>
        </w:rPr>
        <w:t xml:space="preserve">Sécuriser et automatiser la gestion financière (frais, factures, paiements, reçus) ;</w:t>
      </w:r>
    </w:p>
    <w:p>
      <w:pPr>
        <w:pStyle w:val="ListParagraph"/>
        <w:numPr>
          <w:ilvl w:val="0"/>
          <w:numId w:val="2"/>
        </w:numPr>
        <w:spacing w:after="100" w:line="280"/>
      </w:pPr>
      <w:r>
        <w:rPr>
          <w:sz w:val="21"/>
          <w:szCs w:val="21"/>
        </w:rPr>
        <w:t xml:space="preserve">Garantir l'authenticité des documents délivrés par l'établissement grâce à une vérification publique par QR code ;</w:t>
      </w:r>
    </w:p>
    <w:p>
      <w:pPr>
        <w:pStyle w:val="ListParagraph"/>
        <w:numPr>
          <w:ilvl w:val="0"/>
          <w:numId w:val="2"/>
        </w:numPr>
        <w:spacing w:after="100" w:line="280"/>
      </w:pPr>
      <w:r>
        <w:rPr>
          <w:sz w:val="21"/>
          <w:szCs w:val="21"/>
        </w:rPr>
        <w:t xml:space="preserve">Fournir à la direction des tableaux de bord de pilotage en temps réel ;</w:t>
      </w:r>
    </w:p>
    <w:p>
      <w:pPr>
        <w:pStyle w:val="ListParagraph"/>
        <w:numPr>
          <w:ilvl w:val="0"/>
          <w:numId w:val="2"/>
        </w:numPr>
        <w:spacing w:after="100" w:line="280"/>
      </w:pPr>
      <w:r>
        <w:rPr>
          <w:sz w:val="21"/>
          <w:szCs w:val="21"/>
        </w:rPr>
        <w:t xml:space="preserve">Concevoir une architecture réutilisable, permettant à terme un déploiement dans d'autres établissements de formation professionnelle du pays.</w:t>
      </w:r>
    </w:p>
    <w:p>
      <w:pPr>
        <w:pStyle w:val="Heading1"/>
        <w:pBdr>
          <w:bottom w:val="single" w:color="1B4D3E" w:sz="6" w:space="4"/>
        </w:pBdr>
        <w:spacing w:after="160" w:before="360"/>
      </w:pPr>
      <w:r>
        <w:rPr>
          <w:b/>
          <w:bCs/>
          <w:color w:val="1B4D3E"/>
          <w:sz w:val="26"/>
          <w:szCs w:val="26"/>
        </w:rPr>
        <w:t xml:space="preserve">3. Présentation générale de la plateforme</w:t>
      </w:r>
    </w:p>
    <w:p>
      <w:pPr>
        <w:spacing w:after="160" w:line="300"/>
        <w:jc w:val="both"/>
      </w:pPr>
      <w:r>
        <w:rPr>
          <w:sz w:val="21"/>
          <w:szCs w:val="21"/>
        </w:rPr>
        <w:t xml:space="preserve">La plateforme livrée se compose de trois grands espaces, accessibles depuis une même application :</w:t>
      </w:r>
    </w:p>
    <w:p>
      <w:pPr>
        <w:pStyle w:val="ListParagraph"/>
        <w:numPr>
          <w:ilvl w:val="0"/>
          <w:numId w:val="2"/>
        </w:numPr>
        <w:spacing w:after="100" w:line="280"/>
      </w:pPr>
      <w:r>
        <w:rPr>
          <w:sz w:val="21"/>
          <w:szCs w:val="21"/>
        </w:rPr>
        <w:t xml:space="preserve">Un site public : présentation de l'établissement, catalogue des formations, actualités, galerie, contact, et vérification publique des documents officiels ;</w:t>
      </w:r>
    </w:p>
    <w:p>
      <w:pPr>
        <w:pStyle w:val="ListParagraph"/>
        <w:numPr>
          <w:ilvl w:val="0"/>
          <w:numId w:val="2"/>
        </w:numPr>
        <w:spacing w:after="100" w:line="280"/>
      </w:pPr>
      <w:r>
        <w:rPr>
          <w:sz w:val="21"/>
          <w:szCs w:val="21"/>
        </w:rPr>
        <w:t xml:space="preserve">Un espace « Candidature et Admissions » : dépôt de dossier en ligne, suivi de candidature par numéro de dossier, gestion administrative des candidatures ;</w:t>
      </w:r>
    </w:p>
    <w:p>
      <w:pPr>
        <w:pStyle w:val="ListParagraph"/>
        <w:numPr>
          <w:ilvl w:val="0"/>
          <w:numId w:val="2"/>
        </w:numPr>
        <w:spacing w:after="100" w:line="280"/>
      </w:pPr>
      <w:r>
        <w:rPr>
          <w:sz w:val="21"/>
          <w:szCs w:val="21"/>
        </w:rPr>
        <w:t xml:space="preserve">Un espace de gestion scolaire (ERP) : portails dédiés aux étudiants, aux enseignants et à l'administration, couvrant l'académique, les présences, les évaluations, les bulletins, la finance, les stages et les documents officiels.</w:t>
      </w:r>
    </w:p>
    <w:p>
      <w:pPr>
        <w:spacing w:after="160" w:line="300"/>
        <w:jc w:val="both"/>
      </w:pPr>
      <w:r>
        <w:rPr>
          <w:sz w:val="21"/>
          <w:szCs w:val="21"/>
        </w:rPr>
        <w:t xml:space="preserve">L'ensemble des paramètres propres à l'établissement — identité visuelle, formations, tarifs, barèmes de notation, modèles de documents — est administrable directement depuis la plateforme, sans intervention technique, ce qui facilite la maintenance et la réplication future à d'autres établissements.</w:t>
      </w:r>
    </w:p>
    <w:p>
      <w:pPr>
        <w:pStyle w:val="Heading1"/>
        <w:pBdr>
          <w:bottom w:val="single" w:color="1B4D3E" w:sz="6" w:space="4"/>
        </w:pBdr>
        <w:spacing w:after="160" w:before="360"/>
      </w:pPr>
      <w:r>
        <w:rPr>
          <w:b/>
          <w:bCs/>
          <w:color w:val="1B4D3E"/>
          <w:sz w:val="26"/>
          <w:szCs w:val="26"/>
        </w:rPr>
        <w:t xml:space="preserve">4. Périmètre fonctionnel livré</w:t>
      </w:r>
    </w:p>
    <w:p>
      <w:pPr>
        <w:spacing w:after="160" w:line="300"/>
        <w:jc w:val="both"/>
      </w:pPr>
      <w:r>
        <w:rPr>
          <w:sz w:val="21"/>
          <w:szCs w:val="21"/>
        </w:rPr>
        <w:t xml:space="preserve">Le développement a été conduit en 18 phases successives, chacune correspondant à un module fonctionnel livré et testé. L'ensemble des phases prévues est aujourd'hui achevé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B4D3E" w:color="auto" w:val="clear"/>
            <w:tcMar>
              <w:top w:type="dxa" w:w="80"/>
              <w:left w:type="dxa" w:w="120"/>
              <w:bottom w:type="dxa" w:w="80"/>
              <w:right w:type="dxa" w:w="120"/>
            </w:tcMar>
            <w:vAlign w:val="center"/>
          </w:tcPr>
          <w:p>
            <w:pPr>
              <w:jc w:val="center"/>
            </w:pPr>
            <w:r>
              <w:rPr>
                <w:b/>
                <w:bCs/>
                <w:color w:val="FFFFFF"/>
                <w:sz w:val="20"/>
                <w:szCs w:val="20"/>
              </w:rPr>
              <w:t xml:space="preserve">Phase</w:t>
            </w:r>
          </w:p>
        </w:tc>
        <w:tc>
          <w:tcPr>
            <w:tcW w:type="dxa" w:w="6600"/>
            <w:shd w:fill="1B4D3E" w:color="auto" w:val="clear"/>
            <w:tcMar>
              <w:top w:type="dxa" w:w="80"/>
              <w:left w:type="dxa" w:w="120"/>
              <w:bottom w:type="dxa" w:w="80"/>
              <w:right w:type="dxa" w:w="120"/>
            </w:tcMar>
            <w:vAlign w:val="center"/>
          </w:tcPr>
          <w:p>
            <w:pPr>
              <w:jc w:val="left"/>
            </w:pPr>
            <w:r>
              <w:rPr>
                <w:b/>
                <w:bCs/>
                <w:color w:val="FFFFFF"/>
                <w:sz w:val="20"/>
                <w:szCs w:val="20"/>
              </w:rPr>
              <w:t xml:space="preserve">Livrable</w:t>
            </w:r>
          </w:p>
        </w:tc>
        <w:tc>
          <w:tcPr>
            <w:tcW w:type="dxa" w:w="1600"/>
            <w:shd w:fill="1B4D3E" w:color="auto" w:val="clear"/>
            <w:tcMar>
              <w:top w:type="dxa" w:w="80"/>
              <w:left w:type="dxa" w:w="120"/>
              <w:bottom w:type="dxa" w:w="80"/>
              <w:right w:type="dxa" w:w="120"/>
            </w:tcMar>
            <w:vAlign w:val="center"/>
          </w:tcPr>
          <w:p>
            <w:pPr>
              <w:jc w:val="center"/>
            </w:pPr>
            <w:r>
              <w:rPr>
                <w:b/>
                <w:bCs/>
                <w:color w:val="FFFFFF"/>
                <w:sz w:val="20"/>
                <w:szCs w:val="20"/>
              </w:rPr>
              <w:t xml:space="preserve">Statut</w:t>
            </w:r>
          </w:p>
        </w:tc>
      </w:tr>
      <w:tr>
        <w:tc>
          <w:tcPr>
            <w:tcW w:type="dxa" w:w="12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1</w:t>
            </w:r>
          </w:p>
        </w:tc>
        <w:tc>
          <w:tcPr>
            <w:tcW w:type="dxa" w:w="66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Analyse des besoins et cadrage du projet</w:t>
            </w:r>
          </w:p>
        </w:tc>
        <w:tc>
          <w:tcPr>
            <w:tcW w:type="dxa" w:w="16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2</w:t>
            </w:r>
          </w:p>
        </w:tc>
        <w:tc>
          <w:tcPr>
            <w:tcW w:type="dxa" w:w="6600"/>
            <w:shd w:fill="F2F2F2" w:color="auto" w:val="clear"/>
            <w:tcMar>
              <w:top w:type="dxa" w:w="80"/>
              <w:left w:type="dxa" w:w="120"/>
              <w:bottom w:type="dxa" w:w="80"/>
              <w:right w:type="dxa" w:w="120"/>
            </w:tcMar>
            <w:vAlign w:val="center"/>
          </w:tcPr>
          <w:p>
            <w:pPr>
              <w:jc w:val="left"/>
            </w:pPr>
            <w:r>
              <w:rPr>
                <w:b w:val="false"/>
                <w:bCs w:val="false"/>
                <w:color w:val="1A1A1A"/>
                <w:sz w:val="20"/>
                <w:szCs w:val="20"/>
              </w:rPr>
              <w:t xml:space="preserve">Conception UX/UI et design system</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3</w:t>
            </w:r>
          </w:p>
        </w:tc>
        <w:tc>
          <w:tcPr>
            <w:tcW w:type="dxa" w:w="66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Conception de la base de données (45 tables, ~35 modèles)</w:t>
            </w:r>
          </w:p>
        </w:tc>
        <w:tc>
          <w:tcPr>
            <w:tcW w:type="dxa" w:w="16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4</w:t>
            </w:r>
          </w:p>
        </w:tc>
        <w:tc>
          <w:tcPr>
            <w:tcW w:type="dxa" w:w="6600"/>
            <w:shd w:fill="F2F2F2" w:color="auto" w:val="clear"/>
            <w:tcMar>
              <w:top w:type="dxa" w:w="80"/>
              <w:left w:type="dxa" w:w="120"/>
              <w:bottom w:type="dxa" w:w="80"/>
              <w:right w:type="dxa" w:w="120"/>
            </w:tcMar>
            <w:vAlign w:val="center"/>
          </w:tcPr>
          <w:p>
            <w:pPr>
              <w:jc w:val="left"/>
            </w:pPr>
            <w:r>
              <w:rPr>
                <w:b w:val="false"/>
                <w:bCs w:val="false"/>
                <w:color w:val="1A1A1A"/>
                <w:sz w:val="20"/>
                <w:szCs w:val="20"/>
              </w:rPr>
              <w:t xml:space="preserve">Mise en place de l'architecture technique</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5</w:t>
            </w:r>
          </w:p>
        </w:tc>
        <w:tc>
          <w:tcPr>
            <w:tcW w:type="dxa" w:w="66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Authentification, rôles et permissions</w:t>
            </w:r>
          </w:p>
        </w:tc>
        <w:tc>
          <w:tcPr>
            <w:tcW w:type="dxa" w:w="16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6</w:t>
            </w:r>
          </w:p>
        </w:tc>
        <w:tc>
          <w:tcPr>
            <w:tcW w:type="dxa" w:w="6600"/>
            <w:shd w:fill="F2F2F2" w:color="auto" w:val="clear"/>
            <w:tcMar>
              <w:top w:type="dxa" w:w="80"/>
              <w:left w:type="dxa" w:w="120"/>
              <w:bottom w:type="dxa" w:w="80"/>
              <w:right w:type="dxa" w:w="120"/>
            </w:tcMar>
            <w:vAlign w:val="center"/>
          </w:tcPr>
          <w:p>
            <w:pPr>
              <w:jc w:val="left"/>
            </w:pPr>
            <w:r>
              <w:rPr>
                <w:b w:val="false"/>
                <w:bCs w:val="false"/>
                <w:color w:val="1A1A1A"/>
                <w:sz w:val="20"/>
                <w:szCs w:val="20"/>
              </w:rPr>
              <w:t xml:space="preserve">Paramètres et identité de l'établissement</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7</w:t>
            </w:r>
          </w:p>
        </w:tc>
        <w:tc>
          <w:tcPr>
            <w:tcW w:type="dxa" w:w="66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Catalogue des formations (site public + gestion admin)</w:t>
            </w:r>
          </w:p>
        </w:tc>
        <w:tc>
          <w:tcPr>
            <w:tcW w:type="dxa" w:w="16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8</w:t>
            </w:r>
          </w:p>
        </w:tc>
        <w:tc>
          <w:tcPr>
            <w:tcW w:type="dxa" w:w="6600"/>
            <w:shd w:fill="F2F2F2" w:color="auto" w:val="clear"/>
            <w:tcMar>
              <w:top w:type="dxa" w:w="80"/>
              <w:left w:type="dxa" w:w="120"/>
              <w:bottom w:type="dxa" w:w="80"/>
              <w:right w:type="dxa" w:w="120"/>
            </w:tcMar>
            <w:vAlign w:val="center"/>
          </w:tcPr>
          <w:p>
            <w:pPr>
              <w:jc w:val="left"/>
            </w:pPr>
            <w:r>
              <w:rPr>
                <w:b w:val="false"/>
                <w:bCs w:val="false"/>
                <w:color w:val="1A1A1A"/>
                <w:sz w:val="20"/>
                <w:szCs w:val="20"/>
              </w:rPr>
              <w:t xml:space="preserve">Admissions en ligne (candidature, suivi, gestion)</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9</w:t>
            </w:r>
          </w:p>
        </w:tc>
        <w:tc>
          <w:tcPr>
            <w:tcW w:type="dxa" w:w="66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Gestion des étudiants et portail étudiant</w:t>
            </w:r>
          </w:p>
        </w:tc>
        <w:tc>
          <w:tcPr>
            <w:tcW w:type="dxa" w:w="16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10</w:t>
            </w:r>
          </w:p>
        </w:tc>
        <w:tc>
          <w:tcPr>
            <w:tcW w:type="dxa" w:w="6600"/>
            <w:shd w:fill="F2F2F2" w:color="auto" w:val="clear"/>
            <w:tcMar>
              <w:top w:type="dxa" w:w="80"/>
              <w:left w:type="dxa" w:w="120"/>
              <w:bottom w:type="dxa" w:w="80"/>
              <w:right w:type="dxa" w:w="120"/>
            </w:tcMar>
            <w:vAlign w:val="center"/>
          </w:tcPr>
          <w:p>
            <w:pPr>
              <w:jc w:val="left"/>
            </w:pPr>
            <w:r>
              <w:rPr>
                <w:b w:val="false"/>
                <w:bCs w:val="false"/>
                <w:color w:val="1A1A1A"/>
                <w:sz w:val="20"/>
                <w:szCs w:val="20"/>
              </w:rPr>
              <w:t xml:space="preserve">Gestion des enseignants, classes et matières</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11</w:t>
            </w:r>
          </w:p>
        </w:tc>
        <w:tc>
          <w:tcPr>
            <w:tcW w:type="dxa" w:w="66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Emplois du temps et présences</w:t>
            </w:r>
          </w:p>
        </w:tc>
        <w:tc>
          <w:tcPr>
            <w:tcW w:type="dxa" w:w="16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12</w:t>
            </w:r>
          </w:p>
        </w:tc>
        <w:tc>
          <w:tcPr>
            <w:tcW w:type="dxa" w:w="6600"/>
            <w:shd w:fill="F2F2F2" w:color="auto" w:val="clear"/>
            <w:tcMar>
              <w:top w:type="dxa" w:w="80"/>
              <w:left w:type="dxa" w:w="120"/>
              <w:bottom w:type="dxa" w:w="80"/>
              <w:right w:type="dxa" w:w="120"/>
            </w:tcMar>
            <w:vAlign w:val="center"/>
          </w:tcPr>
          <w:p>
            <w:pPr>
              <w:jc w:val="left"/>
            </w:pPr>
            <w:r>
              <w:rPr>
                <w:b w:val="false"/>
                <w:bCs w:val="false"/>
                <w:color w:val="1A1A1A"/>
                <w:sz w:val="20"/>
                <w:szCs w:val="20"/>
              </w:rPr>
              <w:t xml:space="preserve">Évaluations et notes</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13</w:t>
            </w:r>
          </w:p>
        </w:tc>
        <w:tc>
          <w:tcPr>
            <w:tcW w:type="dxa" w:w="66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Bulletins scolaires (PDF configurables)</w:t>
            </w:r>
          </w:p>
        </w:tc>
        <w:tc>
          <w:tcPr>
            <w:tcW w:type="dxa" w:w="16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14</w:t>
            </w:r>
          </w:p>
        </w:tc>
        <w:tc>
          <w:tcPr>
            <w:tcW w:type="dxa" w:w="6600"/>
            <w:shd w:fill="F2F2F2" w:color="auto" w:val="clear"/>
            <w:tcMar>
              <w:top w:type="dxa" w:w="80"/>
              <w:left w:type="dxa" w:w="120"/>
              <w:bottom w:type="dxa" w:w="80"/>
              <w:right w:type="dxa" w:w="120"/>
            </w:tcMar>
            <w:vAlign w:val="center"/>
          </w:tcPr>
          <w:p>
            <w:pPr>
              <w:jc w:val="left"/>
            </w:pPr>
            <w:r>
              <w:rPr>
                <w:b w:val="false"/>
                <w:bCs w:val="false"/>
                <w:color w:val="1A1A1A"/>
                <w:sz w:val="20"/>
                <w:szCs w:val="20"/>
              </w:rPr>
              <w:t xml:space="preserve">Module Finance (frais, factures, paiements, reçus)</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15</w:t>
            </w:r>
          </w:p>
        </w:tc>
        <w:tc>
          <w:tcPr>
            <w:tcW w:type="dxa" w:w="66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Documents officiels et vérification par QR code</w:t>
            </w:r>
          </w:p>
        </w:tc>
        <w:tc>
          <w:tcPr>
            <w:tcW w:type="dxa" w:w="16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16</w:t>
            </w:r>
          </w:p>
        </w:tc>
        <w:tc>
          <w:tcPr>
            <w:tcW w:type="dxa" w:w="6600"/>
            <w:shd w:fill="F2F2F2" w:color="auto" w:val="clear"/>
            <w:tcMar>
              <w:top w:type="dxa" w:w="80"/>
              <w:left w:type="dxa" w:w="120"/>
              <w:bottom w:type="dxa" w:w="80"/>
              <w:right w:type="dxa" w:w="120"/>
            </w:tcMar>
            <w:vAlign w:val="center"/>
          </w:tcPr>
          <w:p>
            <w:pPr>
              <w:jc w:val="left"/>
            </w:pPr>
            <w:r>
              <w:rPr>
                <w:b w:val="false"/>
                <w:bCs w:val="false"/>
                <w:color w:val="1A1A1A"/>
                <w:sz w:val="20"/>
                <w:szCs w:val="20"/>
              </w:rPr>
              <w:t xml:space="preserve">Actualités, événements et galerie (CMS)</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17</w:t>
            </w:r>
          </w:p>
        </w:tc>
        <w:tc>
          <w:tcPr>
            <w:tcW w:type="dxa" w:w="66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Notifications (e-mail ; SMS/WhatsApp prêts à l'activation)</w:t>
            </w:r>
          </w:p>
        </w:tc>
        <w:tc>
          <w:tcPr>
            <w:tcW w:type="dxa" w:w="1600"/>
            <w:shd w:fill="FFFFFF"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r>
        <w:tc>
          <w:tcPr>
            <w:tcW w:type="dxa" w:w="12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18</w:t>
            </w:r>
          </w:p>
        </w:tc>
        <w:tc>
          <w:tcPr>
            <w:tcW w:type="dxa" w:w="6600"/>
            <w:shd w:fill="F2F2F2" w:color="auto" w:val="clear"/>
            <w:tcMar>
              <w:top w:type="dxa" w:w="80"/>
              <w:left w:type="dxa" w:w="120"/>
              <w:bottom w:type="dxa" w:w="80"/>
              <w:right w:type="dxa" w:w="120"/>
            </w:tcMar>
            <w:vAlign w:val="center"/>
          </w:tcPr>
          <w:p>
            <w:pPr>
              <w:jc w:val="left"/>
            </w:pPr>
            <w:r>
              <w:rPr>
                <w:b w:val="false"/>
                <w:bCs w:val="false"/>
                <w:color w:val="1A1A1A"/>
                <w:sz w:val="20"/>
                <w:szCs w:val="20"/>
              </w:rPr>
              <w:t xml:space="preserve">Tests, audit et durcissement de la sécurité</w:t>
            </w:r>
          </w:p>
        </w:tc>
        <w:tc>
          <w:tcPr>
            <w:tcW w:type="dxa" w:w="1600"/>
            <w:shd w:fill="F2F2F2" w:color="auto" w:val="clear"/>
            <w:tcMar>
              <w:top w:type="dxa" w:w="80"/>
              <w:left w:type="dxa" w:w="120"/>
              <w:bottom w:type="dxa" w:w="80"/>
              <w:right w:type="dxa" w:w="120"/>
            </w:tcMar>
            <w:vAlign w:val="center"/>
          </w:tcPr>
          <w:p>
            <w:pPr>
              <w:jc w:val="center"/>
            </w:pPr>
            <w:r>
              <w:rPr>
                <w:b w:val="false"/>
                <w:bCs w:val="false"/>
                <w:color w:val="1A1A1A"/>
                <w:sz w:val="20"/>
                <w:szCs w:val="20"/>
              </w:rPr>
              <w:t xml:space="preserve">Achevé</w:t>
            </w:r>
          </w:p>
        </w:tc>
      </w:tr>
    </w:tbl>
    <w:p>
      <w:pPr>
        <w:spacing w:before="200"/>
      </w:pPr>
    </w:p>
    <w:p>
      <w:pPr>
        <w:pStyle w:val="Heading1"/>
        <w:pBdr>
          <w:bottom w:val="single" w:color="1B4D3E" w:sz="6" w:space="4"/>
        </w:pBdr>
        <w:spacing w:after="160" w:before="360"/>
      </w:pPr>
      <w:r>
        <w:rPr>
          <w:b/>
          <w:bCs/>
          <w:color w:val="1B4D3E"/>
          <w:sz w:val="26"/>
          <w:szCs w:val="26"/>
        </w:rPr>
        <w:t xml:space="preserve">5. Architecture et choix techniques</w:t>
      </w:r>
    </w:p>
    <w:p>
      <w:pPr>
        <w:spacing w:after="160" w:line="300"/>
        <w:jc w:val="both"/>
      </w:pPr>
      <w:r>
        <w:rPr>
          <w:sz w:val="21"/>
          <w:szCs w:val="21"/>
        </w:rPr>
        <w:t xml:space="preserve">La plateforme repose sur une architecture web moderne, robuste et largement utilisée dans les projets institutionnels et gouvernementaux à travers le monde :</w:t>
      </w:r>
    </w:p>
    <w:p>
      <w:pPr>
        <w:pStyle w:val="ListParagraph"/>
        <w:numPr>
          <w:ilvl w:val="0"/>
          <w:numId w:val="2"/>
        </w:numPr>
        <w:spacing w:after="100" w:line="280"/>
      </w:pPr>
      <w:r>
        <w:rPr>
          <w:sz w:val="21"/>
          <w:szCs w:val="21"/>
        </w:rPr>
        <w:t xml:space="preserve">Un socle applicatif structuré en modules indépendants (formations, admissions, étudiants, finance, documents, communication), facilitant la maintenance et les évolutions futures ;</w:t>
      </w:r>
    </w:p>
    <w:p>
      <w:pPr>
        <w:pStyle w:val="ListParagraph"/>
        <w:numPr>
          <w:ilvl w:val="0"/>
          <w:numId w:val="2"/>
        </w:numPr>
        <w:spacing w:after="100" w:line="280"/>
      </w:pPr>
      <w:r>
        <w:rPr>
          <w:sz w:val="21"/>
          <w:szCs w:val="21"/>
        </w:rPr>
        <w:t xml:space="preserve">Une base de données relationnelle sécurisée (45 tables couvrant l'ensemble des processus métier) ;</w:t>
      </w:r>
    </w:p>
    <w:p>
      <w:pPr>
        <w:pStyle w:val="ListParagraph"/>
        <w:numPr>
          <w:ilvl w:val="0"/>
          <w:numId w:val="2"/>
        </w:numPr>
        <w:spacing w:after="100" w:line="280"/>
      </w:pPr>
      <w:r>
        <w:rPr>
          <w:sz w:val="21"/>
          <w:szCs w:val="21"/>
        </w:rPr>
        <w:t xml:space="preserve">Un système de rôles et permissions fin, garantissant que chaque utilisateur (administration, enseignant, étudiant, candidat) n'accède qu'aux informations qui le concernent ;</w:t>
      </w:r>
    </w:p>
    <w:p>
      <w:pPr>
        <w:pStyle w:val="ListParagraph"/>
        <w:numPr>
          <w:ilvl w:val="0"/>
          <w:numId w:val="2"/>
        </w:numPr>
        <w:spacing w:after="100" w:line="280"/>
      </w:pPr>
      <w:r>
        <w:rPr>
          <w:sz w:val="21"/>
          <w:szCs w:val="21"/>
        </w:rPr>
        <w:t xml:space="preserve">Une génération automatisée des documents officiels (bulletins, reçus, attestations) au format PDF, avec vérification publique par QR code ;</w:t>
      </w:r>
    </w:p>
    <w:p>
      <w:pPr>
        <w:pStyle w:val="ListParagraph"/>
        <w:numPr>
          <w:ilvl w:val="0"/>
          <w:numId w:val="2"/>
        </w:numPr>
        <w:spacing w:after="100" w:line="280"/>
      </w:pPr>
      <w:r>
        <w:rPr>
          <w:sz w:val="21"/>
          <w:szCs w:val="21"/>
        </w:rPr>
        <w:t xml:space="preserve">Des interfaces prêtes pour l'intégration des moyens de paiement mobile utilisés au Sénégal (Wave, Orange Money, Free Money) ;</w:t>
      </w:r>
    </w:p>
    <w:p>
      <w:pPr>
        <w:pStyle w:val="ListParagraph"/>
        <w:numPr>
          <w:ilvl w:val="0"/>
          <w:numId w:val="2"/>
        </w:numPr>
        <w:spacing w:after="100" w:line="280"/>
      </w:pPr>
      <w:r>
        <w:rPr>
          <w:sz w:val="21"/>
          <w:szCs w:val="21"/>
        </w:rPr>
        <w:t xml:space="preserve">Des mécanismes de sécurité applicative (contrôle d'accès, validation stricte des données, journal d'audit des actions sensibles).</w:t>
      </w:r>
    </w:p>
    <w:p>
      <w:pPr>
        <w:pStyle w:val="Heading1"/>
        <w:pBdr>
          <w:bottom w:val="single" w:color="1B4D3E" w:sz="6" w:space="4"/>
        </w:pBdr>
        <w:spacing w:after="160" w:before="360"/>
      </w:pPr>
      <w:r>
        <w:rPr>
          <w:b/>
          <w:bCs/>
          <w:color w:val="1B4D3E"/>
          <w:sz w:val="26"/>
          <w:szCs w:val="26"/>
        </w:rPr>
        <w:t xml:space="preserve">6. Impact attendu</w:t>
      </w:r>
    </w:p>
    <w:p>
      <w:pPr>
        <w:pStyle w:val="Heading2"/>
        <w:spacing w:after="120" w:before="260"/>
      </w:pPr>
      <w:r>
        <w:rPr>
          <w:b/>
          <w:bCs/>
          <w:color w:val="1A1A1A"/>
          <w:sz w:val="22"/>
          <w:szCs w:val="22"/>
        </w:rPr>
        <w:t xml:space="preserve">Pour les étudiants, les candidats et les familles</w:t>
      </w:r>
    </w:p>
    <w:p>
      <w:pPr>
        <w:spacing w:after="160" w:line="300"/>
        <w:jc w:val="both"/>
      </w:pPr>
      <w:r>
        <w:rPr>
          <w:sz w:val="21"/>
          <w:szCs w:val="21"/>
        </w:rPr>
        <w:t xml:space="preserve">Un accès simplifié et transparent à l'information (formations, frais, démarches), un suivi en temps réel des candidatures et de la scolarité, et une réduction significative des déplacements et démarches administratives en présentiel.</w:t>
      </w:r>
    </w:p>
    <w:p>
      <w:pPr>
        <w:pStyle w:val="Heading2"/>
        <w:spacing w:after="120" w:before="260"/>
      </w:pPr>
      <w:r>
        <w:rPr>
          <w:b/>
          <w:bCs/>
          <w:color w:val="1A1A1A"/>
          <w:sz w:val="22"/>
          <w:szCs w:val="22"/>
        </w:rPr>
        <w:t xml:space="preserve">Pour l'établissement</w:t>
      </w:r>
    </w:p>
    <w:p>
      <w:pPr>
        <w:spacing w:after="160" w:line="300"/>
        <w:jc w:val="both"/>
      </w:pPr>
      <w:r>
        <w:rPr>
          <w:sz w:val="21"/>
          <w:szCs w:val="21"/>
        </w:rPr>
        <w:t xml:space="preserve">Un gain de temps et de fiabilité dans la gestion administrative et financière, une meilleure traçabilité des décisions, et une image institutionnelle modernisée, en phase avec les standards attendus d'un établissement de référence.</w:t>
      </w:r>
    </w:p>
    <w:p>
      <w:pPr>
        <w:pStyle w:val="Heading2"/>
        <w:spacing w:after="120" w:before="260"/>
      </w:pPr>
      <w:r>
        <w:rPr>
          <w:b/>
          <w:bCs/>
          <w:color w:val="1A1A1A"/>
          <w:sz w:val="22"/>
          <w:szCs w:val="22"/>
        </w:rPr>
        <w:t xml:space="preserve">Pour le secteur du tourisme et de l'hôtellerie</w:t>
      </w:r>
    </w:p>
    <w:p>
      <w:pPr>
        <w:spacing w:after="160" w:line="300"/>
        <w:jc w:val="both"/>
      </w:pPr>
      <w:r>
        <w:rPr>
          <w:sz w:val="21"/>
          <w:szCs w:val="21"/>
        </w:rPr>
        <w:t xml:space="preserve">Une contribution concrète à la formation d'une main-d'œuvre qualifiée et mieux suivie, dans un secteur identifié comme prioritaire pour la diversification économique et la création d'emplois au Sénégal.</w:t>
      </w:r>
    </w:p>
    <w:p>
      <w:pPr>
        <w:pStyle w:val="Heading2"/>
        <w:spacing w:after="120" w:before="260"/>
      </w:pPr>
      <w:r>
        <w:rPr>
          <w:b/>
          <w:bCs/>
          <w:color w:val="1A1A1A"/>
          <w:sz w:val="22"/>
          <w:szCs w:val="22"/>
        </w:rPr>
        <w:t xml:space="preserve">Pour l'État</w:t>
      </w:r>
    </w:p>
    <w:p>
      <w:pPr>
        <w:spacing w:after="160" w:line="300"/>
        <w:jc w:val="both"/>
      </w:pPr>
      <w:r>
        <w:rPr>
          <w:sz w:val="21"/>
          <w:szCs w:val="21"/>
        </w:rPr>
        <w:t xml:space="preserve">Un modèle numérique réplicable et peu coûteux à dupliquer, pouvant s'inscrire dans les orientations de digitalisation des services publics et de la formation professionnelle portées par les pouvoirs publics, et pouvant à terme être étendu à d'autres établissements du réseau national de formation professionnelle.</w:t>
      </w:r>
    </w:p>
    <w:p>
      <w:pPr>
        <w:pStyle w:val="Heading1"/>
        <w:pBdr>
          <w:bottom w:val="single" w:color="1B4D3E" w:sz="6" w:space="4"/>
        </w:pBdr>
        <w:spacing w:after="160" w:before="360"/>
      </w:pPr>
      <w:r>
        <w:rPr>
          <w:b/>
          <w:bCs/>
          <w:color w:val="1B4D3E"/>
          <w:sz w:val="26"/>
          <w:szCs w:val="26"/>
        </w:rPr>
        <w:t xml:space="preserve">7. État d'avancement</w:t>
      </w:r>
    </w:p>
    <w:p>
      <w:pPr>
        <w:spacing w:after="160" w:line="300"/>
        <w:jc w:val="both"/>
      </w:pPr>
      <w:r>
        <w:rPr>
          <w:sz w:val="21"/>
          <w:szCs w:val="21"/>
        </w:rPr>
        <w:t xml:space="preserve">À la date du présent rapport, l'ensemble des 18 phases prévues est achevé. La plateforme est fonctionnelle de bout en bout — du site public jusqu'aux modules de gestion académique, financière et documentaire — et prête pour un déploiement pilote en conditions réelles au sein de l'EEHT.</w:t>
      </w:r>
    </w:p>
    <w:p>
      <w:pPr>
        <w:pStyle w:val="Heading1"/>
        <w:pBdr>
          <w:bottom w:val="single" w:color="1B4D3E" w:sz="6" w:space="4"/>
        </w:pBdr>
        <w:spacing w:after="160" w:before="360"/>
      </w:pPr>
      <w:r>
        <w:rPr>
          <w:b/>
          <w:bCs/>
          <w:color w:val="1B4D3E"/>
          <w:sz w:val="26"/>
          <w:szCs w:val="26"/>
        </w:rPr>
        <w:t xml:space="preserve">8. Recommandations et prochaines étapes</w:t>
      </w:r>
    </w:p>
    <w:p>
      <w:pPr>
        <w:pStyle w:val="ListParagraph"/>
        <w:numPr>
          <w:ilvl w:val="0"/>
          <w:numId w:val="2"/>
        </w:numPr>
        <w:spacing w:after="100" w:line="280"/>
      </w:pPr>
      <w:r>
        <w:rPr>
          <w:sz w:val="21"/>
          <w:szCs w:val="21"/>
        </w:rPr>
        <w:t xml:space="preserve">Déployer la plateforme sur un hébergement de production sécurisé et former les équipes administratives et pédagogiques à son utilisation ;</w:t>
      </w:r>
    </w:p>
    <w:p>
      <w:pPr>
        <w:pStyle w:val="ListParagraph"/>
        <w:numPr>
          <w:ilvl w:val="0"/>
          <w:numId w:val="2"/>
        </w:numPr>
        <w:spacing w:after="100" w:line="280"/>
      </w:pPr>
      <w:r>
        <w:rPr>
          <w:sz w:val="21"/>
          <w:szCs w:val="21"/>
        </w:rPr>
        <w:t xml:space="preserve">Activer l'intégration des moyens de paiement mobile (Wave, Orange Money, Free Money) pour la collecte des frais de scolarité ;</w:t>
      </w:r>
    </w:p>
    <w:p>
      <w:pPr>
        <w:pStyle w:val="ListParagraph"/>
        <w:numPr>
          <w:ilvl w:val="0"/>
          <w:numId w:val="2"/>
        </w:numPr>
        <w:spacing w:after="100" w:line="280"/>
      </w:pPr>
      <w:r>
        <w:rPr>
          <w:sz w:val="21"/>
          <w:szCs w:val="21"/>
        </w:rPr>
        <w:t xml:space="preserve">Mener une phase pilote d'une année académique complète, avec suivi et ajustements ;</w:t>
      </w:r>
    </w:p>
    <w:p>
      <w:pPr>
        <w:pStyle w:val="ListParagraph"/>
        <w:numPr>
          <w:ilvl w:val="0"/>
          <w:numId w:val="2"/>
        </w:numPr>
        <w:spacing w:after="100" w:line="280"/>
      </w:pPr>
      <w:r>
        <w:rPr>
          <w:sz w:val="21"/>
          <w:szCs w:val="21"/>
        </w:rPr>
        <w:t xml:space="preserve">Étudier, avec les autorités compétentes, les conditions d'un accompagnement institutionnel et financier permettant d'étendre ce modèle à d'autres établissements de formation professionnelle du secteur du tourisme et de l'hôtellerie ;</w:t>
      </w:r>
    </w:p>
    <w:p>
      <w:pPr>
        <w:pStyle w:val="ListParagraph"/>
        <w:numPr>
          <w:ilvl w:val="0"/>
          <w:numId w:val="2"/>
        </w:numPr>
        <w:spacing w:after="100" w:line="280"/>
      </w:pPr>
      <w:r>
        <w:rPr>
          <w:sz w:val="21"/>
          <w:szCs w:val="21"/>
        </w:rPr>
        <w:t xml:space="preserve">Assurer une maintenance évolutive de la plateforme et un renforcement continu de la sécurité.</w:t>
      </w:r>
    </w:p>
    <w:p>
      <w:pPr>
        <w:pStyle w:val="Heading1"/>
        <w:pBdr>
          <w:bottom w:val="single" w:color="1B4D3E" w:sz="6" w:space="4"/>
        </w:pBdr>
        <w:spacing w:after="160" w:before="360"/>
      </w:pPr>
      <w:r>
        <w:rPr>
          <w:b/>
          <w:bCs/>
          <w:color w:val="1B4D3E"/>
          <w:sz w:val="26"/>
          <w:szCs w:val="26"/>
        </w:rPr>
        <w:t xml:space="preserve">9. Conclusion</w:t>
      </w:r>
    </w:p>
    <w:p>
      <w:pPr>
        <w:spacing w:after="160" w:line="300"/>
        <w:jc w:val="both"/>
      </w:pPr>
      <w:r>
        <w:rPr>
          <w:sz w:val="21"/>
          <w:szCs w:val="21"/>
        </w:rPr>
        <w:t xml:space="preserve">Le projet de digitalisation de l'EEHT a permis de doter l'établissement d'un outil complet, moderne et évolutif, répondant aux enjeux de transparence, d'efficacité et de qualité attendus d'une institution de formation professionnelle de référence dans le secteur du tourisme et de l'hôtellerie.</w:t>
      </w:r>
    </w:p>
    <w:p>
      <w:pPr>
        <w:spacing w:after="160" w:line="300"/>
        <w:jc w:val="both"/>
      </w:pPr>
      <w:r>
        <w:rPr>
          <w:sz w:val="21"/>
          <w:szCs w:val="21"/>
        </w:rPr>
        <w:t xml:space="preserve">La Direction de l'EEHT tient à souligner la portée nationale que pourrait revêtir cette initiative si elle venait à être soutenue et étendue, en cohérence avec les ambitions du Sénégal en matière de digitalisation des services publics et de développement du secteur touristique, et se tient à la disposition des autorités pour toute présentation complémentaire.</w:t>
      </w:r>
    </w:p>
    <w:p>
      <w:pPr>
        <w:spacing w:after="40" w:before="500"/>
        <w:jc w:val="right"/>
      </w:pPr>
      <w:r>
        <w:rPr>
          <w:sz w:val="21"/>
          <w:szCs w:val="21"/>
        </w:rPr>
        <w:t xml:space="preserve">Fait à Dakar, le 3 septembre 2026</w:t>
      </w:r>
    </w:p>
    <w:p>
      <w:pPr>
        <w:spacing w:after="40" w:before="200"/>
        <w:jc w:val="right"/>
      </w:pPr>
      <w:r>
        <w:rPr>
          <w:b/>
          <w:bCs/>
          <w:sz w:val="21"/>
          <w:szCs w:val="21"/>
        </w:rPr>
        <w:t xml:space="preserve">Le Directeur / La Directrice de l'EEHT</w:t>
      </w:r>
    </w:p>
    <w:p>
      <w:pPr>
        <w:spacing w:after="40"/>
        <w:jc w:val="right"/>
      </w:pPr>
      <w:r>
        <w:rPr>
          <w:i/>
          <w:iCs/>
          <w:color w:val="555555"/>
          <w:sz w:val="20"/>
          <w:szCs w:val="20"/>
        </w:rPr>
        <w:t xml:space="preserve">[Nom et signature]</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EEHT — Rapport final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2026-09-03T00:00:23.069Z</dcterms:created>
  <dcterms:modified xsi:type="dcterms:W3CDTF">2026-09-03T00:00:23.069Z</dcterms:modified>
</cp:coreProperties>
</file>

<file path=docProps/custom.xml><?xml version="1.0" encoding="utf-8"?>
<Properties xmlns="http://schemas.openxmlformats.org/officeDocument/2006/custom-properties" xmlns:vt="http://schemas.openxmlformats.org/officeDocument/2006/docPropsVTypes"/>
</file>