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07EB" w:rsidRPr="00190FE3" w:rsidRDefault="00141B9A">
      <w:pPr>
        <w:pStyle w:val="Heading1"/>
        <w:jc w:val="center"/>
        <w:rPr>
          <w:rFonts w:ascii="Arial" w:eastAsia="Arial" w:hAnsi="Arial" w:cs="Arial"/>
        </w:rPr>
      </w:pPr>
      <w:bookmarkStart w:id="0" w:name="_np209ztjhxac" w:colFirst="0" w:colLast="0"/>
      <w:bookmarkEnd w:id="0"/>
      <w:r w:rsidRPr="00190FE3">
        <w:rPr>
          <w:rFonts w:ascii="Arial" w:eastAsia="Arial" w:hAnsi="Arial" w:cs="Arial"/>
        </w:rPr>
        <w:t>Project Move It OKRs</w:t>
      </w:r>
    </w:p>
    <w:tbl>
      <w:tblPr>
        <w:tblStyle w:val="a"/>
        <w:tblW w:w="10794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825"/>
        <w:gridCol w:w="105"/>
      </w:tblGrid>
      <w:tr w:rsidR="001C07EB" w:rsidRPr="00190FE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Actively and meaningfully engage the public to generate buy-in and project support.</w:t>
            </w:r>
          </w:p>
        </w:tc>
        <w:tc>
          <w:tcPr>
            <w:tcW w:w="105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KR1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400 attendees to 12 public meetings focused on transit talks</w:t>
            </w:r>
          </w:p>
        </w:tc>
        <w:tc>
          <w:tcPr>
            <w:tcW w:w="105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 xml:space="preserve">75% </w:t>
            </w:r>
            <w:bookmarkStart w:id="1" w:name="_GoBack"/>
            <w:bookmarkEnd w:id="1"/>
            <w:r w:rsidRPr="00190FE3">
              <w:rPr>
                <w:rFonts w:ascii="Arial" w:eastAsia="Arial" w:hAnsi="Arial" w:cs="Arial"/>
              </w:rPr>
              <w:t>of Wonder City residents surveyed before launch</w:t>
            </w:r>
          </w:p>
        </w:tc>
        <w:tc>
          <w:tcPr>
            <w:tcW w:w="105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70% of community leaders participate in community outreach program</w:t>
            </w:r>
          </w:p>
        </w:tc>
        <w:tc>
          <w:tcPr>
            <w:tcW w:w="105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EA4335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O2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Make it easy to get around the greater Wonder City area via public transportation.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KR1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Busses on new lines run every ten minutes during peak hours.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The most densely-populated sections of Wonder City (1,500–2,000 people per sq. mile) have three bus stops per ten city blocks.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New ridership increases by 25% within three months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FBBC04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FBBC04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FBBC04"/>
              </w:rPr>
              <w:t>O3 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Promote public transportation as a convenient alternative to driving.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KR1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6,000 unique visitors to the WCTA online portal per month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80% click-through rate from banner ads on social media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15 press pieces published in relevant print and online publications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34A853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34A853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34A853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 xml:space="preserve">Provide a reliable and consistent public transportation service. 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KR1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100% of new busses meet government safety standards at monthly inspections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95% of new bus fleet operational at all times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Wait times decrease by 20% within two months of launch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1C07EB" w:rsidRPr="00190FE3" w:rsidRDefault="001C07EB">
      <w:pPr>
        <w:rPr>
          <w:rFonts w:ascii="Arial" w:eastAsia="Arial" w:hAnsi="Arial" w:cs="Arial"/>
        </w:rPr>
      </w:pPr>
    </w:p>
    <w:p w:rsidR="001C07EB" w:rsidRPr="00190FE3" w:rsidRDefault="001C07EB">
      <w:pPr>
        <w:rPr>
          <w:rFonts w:ascii="Arial" w:eastAsia="Arial" w:hAnsi="Arial" w:cs="Arial"/>
        </w:rPr>
      </w:pPr>
    </w:p>
    <w:sectPr w:rsidR="001C07EB" w:rsidRPr="00190FE3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B9A" w:rsidRDefault="00141B9A" w:rsidP="00190FE3">
      <w:pPr>
        <w:spacing w:line="240" w:lineRule="auto"/>
      </w:pPr>
      <w:r>
        <w:separator/>
      </w:r>
    </w:p>
  </w:endnote>
  <w:endnote w:type="continuationSeparator" w:id="0">
    <w:p w:rsidR="00141B9A" w:rsidRDefault="00141B9A" w:rsidP="0019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ogle Sans Text">
    <w:altName w:val="Times New Roman"/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B9A" w:rsidRDefault="00141B9A" w:rsidP="00190FE3">
      <w:pPr>
        <w:spacing w:line="240" w:lineRule="auto"/>
      </w:pPr>
      <w:r>
        <w:separator/>
      </w:r>
    </w:p>
  </w:footnote>
  <w:footnote w:type="continuationSeparator" w:id="0">
    <w:p w:rsidR="00141B9A" w:rsidRDefault="00141B9A" w:rsidP="00190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EB"/>
    <w:rsid w:val="00141B9A"/>
    <w:rsid w:val="00190FE3"/>
    <w:rsid w:val="001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F4712-75F7-4F8F-A74E-1BF9B72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E3"/>
  </w:style>
  <w:style w:type="paragraph" w:styleId="Footer">
    <w:name w:val="footer"/>
    <w:basedOn w:val="Normal"/>
    <w:link w:val="Foot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2021-07-23T19:20:00Z</dcterms:created>
  <dcterms:modified xsi:type="dcterms:W3CDTF">2021-07-23T19:20:00Z</dcterms:modified>
</cp:coreProperties>
</file>