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Arial" w:cs="Arial" w:eastAsia="Arial" w:hAnsi="Arial"/>
          <w:b/>
          <w:bCs/>
          <w:color w:val="CAAF6C"/>
          <w:sz w:val="80"/>
          <w:szCs w:val="80"/>
        </w:rPr>
        <w:t xml:space="preserve">REALSIGHT</w:t>
      </w:r>
    </w:p>
    <w:p>
      <w:pPr>
        <w:spacing w:after="120" w:before="0"/>
        <w:jc w:val="center"/>
      </w:pPr>
      <w:r>
        <w:rPr>
          <w:rFonts w:ascii="Arial" w:cs="Arial" w:eastAsia="Arial" w:hAnsi="Arial"/>
          <w:b w:val="false"/>
          <w:bCs w:val="false"/>
          <w:color w:val="1A1A2E"/>
          <w:sz w:val="40"/>
          <w:szCs w:val="40"/>
        </w:rPr>
        <w:t xml:space="preserve">Pricing Strategy &amp; Plan Architecture</w:t>
      </w:r>
    </w:p>
    <w:p>
      <w:pPr>
        <w:pBdr>
          <w:bottom w:val="single" w:color="CAAF6C" w:sz="12" w:space="8"/>
        </w:pBdr>
        <w:spacing w:after="480" w:before="0"/>
        <w:jc w:val="center"/>
      </w:pPr>
      <w:r>
        <w:rPr>
          <w:rFonts w:ascii="Arial" w:cs="Arial" w:eastAsia="Arial" w:hAnsi="Arial"/>
          <w:color w:val="4A4A6A"/>
          <w:sz w:val="24"/>
          <w:szCs w:val="24"/>
        </w:rPr>
        <w:t xml:space="preserve">Dubai Real Estate Intelligence Platform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AAF6C" w:sz="1"/>
              <w:left w:val="single" w:color="CAAF6C" w:sz="1"/>
              <w:bottom w:val="single" w:color="CAAF6C" w:sz="1"/>
              <w:right w:val="single" w:color="CAAF6C" w:sz="1"/>
            </w:tcBorders>
            <w:shd w:fill="1A1A2E" w:val="clear"/>
            <w:tcMar>
              <w:top w:type="dxa" w:w="200"/>
              <w:left w:type="dxa" w:w="300"/>
              <w:bottom w:type="dxa" w:w="200"/>
              <w:right w:type="dxa" w:w="300"/>
            </w:tcMar>
          </w:tcPr>
          <w:p>
            <w:pPr>
              <w:jc w:val="center"/>
            </w:pPr>
            <w:r>
              <w:rPr>
                <w:rFonts w:ascii="Arial" w:cs="Arial" w:eastAsia="Arial" w:hAnsi="Arial"/>
                <w:b/>
                <w:bCs/>
                <w:i/>
                <w:iCs/>
                <w:color w:val="CAAF6C"/>
                <w:sz w:val="26"/>
                <w:szCs w:val="26"/>
              </w:rPr>
              <w:t xml:space="preserve">"Research is free. Ownership is paid. Advisers are empowered."</w:t>
            </w:r>
          </w:p>
        </w:tc>
      </w:tr>
    </w:tbl>
    <w:p>
      <w:pPr>
        <w:spacing w:after="0" w:before="480"/>
      </w:pPr>
      <w:r>
        <w:t xml:space="preserve"/>
      </w:r>
    </w:p>
    <w:p>
      <w:pPr>
        <w:spacing w:after="60" w:before="60"/>
        <w:jc w:val="center"/>
      </w:pPr>
      <w:r>
        <w:rPr>
          <w:rFonts w:ascii="Arial" w:cs="Arial" w:eastAsia="Arial" w:hAnsi="Arial"/>
          <w:color w:val="4A4A6A"/>
          <w:sz w:val="20"/>
          <w:szCs w:val="20"/>
        </w:rPr>
        <w:t xml:space="preserve">Confidential — April 2026</w:t>
      </w:r>
    </w:p>
    <w:p>
      <w:pPr>
        <w:spacing w:after="60" w:before="0"/>
        <w:jc w:val="center"/>
      </w:pPr>
      <w:r>
        <w:rPr>
          <w:rFonts w:ascii="Arial" w:cs="Arial" w:eastAsia="Arial" w:hAnsi="Arial"/>
          <w:b/>
          <w:bCs/>
          <w:color w:val="CAAF6C"/>
          <w:sz w:val="22"/>
          <w:szCs w:val="22"/>
        </w:rPr>
        <w:t xml:space="preserve">realsight.app</w:t>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1. Executive Summary</w:t>
      </w:r>
    </w:p>
    <w:p>
      <w:pPr>
        <w:spacing w:after="60" w:before="60"/>
      </w:pPr>
      <w:r>
        <w:rPr>
          <w:rFonts w:ascii="Arial" w:cs="Arial" w:eastAsia="Arial" w:hAnsi="Arial"/>
          <w:b w:val="false"/>
          <w:bCs w:val="false"/>
          <w:i w:val="false"/>
          <w:iCs w:val="false"/>
          <w:color w:val="1A1A2E"/>
          <w:sz w:val="20"/>
          <w:szCs w:val="20"/>
        </w:rPr>
        <w:t xml:space="preserve">RealSight's pricing strategy is built on a single insight: DXBinteract has captured Dubai's real estate audience with a permanently free product. Competing directly on price is not a strategy — matching it on features (for free) while building a monetisable layer on top is.</w:t>
      </w:r>
    </w:p>
    <w:p>
      <w:pPr>
        <w:spacing w:after="0" w:before="80"/>
      </w:pPr>
      <w:r>
        <w:t xml:space="preserve"/>
      </w:r>
    </w:p>
    <w:p>
      <w:pPr>
        <w:spacing w:after="60" w:before="60"/>
      </w:pPr>
      <w:r>
        <w:rPr>
          <w:rFonts w:ascii="Arial" w:cs="Arial" w:eastAsia="Arial" w:hAnsi="Arial"/>
          <w:b w:val="false"/>
          <w:bCs w:val="false"/>
          <w:i w:val="false"/>
          <w:iCs w:val="false"/>
          <w:color w:val="1A1A2E"/>
          <w:sz w:val="20"/>
          <w:szCs w:val="20"/>
        </w:rPr>
        <w:t xml:space="preserve">The model has three pillars:</w:t>
      </w:r>
    </w:p>
    <w:p>
      <w:pPr>
        <w:spacing w:after="0" w:before="40"/>
      </w:pPr>
      <w:r>
        <w:t xml:space="preserve"/>
      </w:r>
    </w:p>
    <w:p>
      <w:pPr>
        <w:pStyle w:val="ListParagraph"/>
        <w:numPr>
          <w:ilvl w:val="0"/>
          <w:numId w:val="2"/>
        </w:numPr>
        <w:spacing w:after="40" w:before="40"/>
        <w:ind w:left="720" w:hanging="360"/>
      </w:pPr>
      <w:r>
        <w:rPr>
          <w:rFonts w:ascii="Arial" w:cs="Arial" w:eastAsia="Arial" w:hAnsi="Arial"/>
          <w:color w:val="1A1A2E"/>
          <w:sz w:val="20"/>
          <w:szCs w:val="20"/>
        </w:rPr>
        <w:t xml:space="preserve">Research is always free — every user, agent or investor, gets full access to the heatmap, DLD transaction data, price history, and project listings at zero cost. This matches DXBinteract's core proposition and removes any barrier to switching.</w:t>
      </w:r>
    </w:p>
    <w:p>
      <w:pPr>
        <w:pStyle w:val="ListParagraph"/>
        <w:numPr>
          <w:ilvl w:val="0"/>
          <w:numId w:val="2"/>
        </w:numPr>
        <w:spacing w:after="40" w:before="40"/>
        <w:ind w:left="720" w:hanging="360"/>
      </w:pPr>
      <w:r>
        <w:rPr>
          <w:rFonts w:ascii="Arial" w:cs="Arial" w:eastAsia="Arial" w:hAnsi="Arial"/>
          <w:color w:val="1A1A2E"/>
          <w:sz w:val="20"/>
          <w:szCs w:val="20"/>
        </w:rPr>
        <w:t xml:space="preserve">Portfolio tracking is a paid upgrade for investors — investors who want to manage their holdings, upload title deeds, track live P&amp;L, and use the AI Concierge pay AED 99/month. This is less than two dinners in Dubai, while protecting a portfolio worth AED millions.</w:t>
      </w:r>
    </w:p>
    <w:p>
      <w:pPr>
        <w:pStyle w:val="ListParagraph"/>
        <w:numPr>
          <w:ilvl w:val="0"/>
          <w:numId w:val="2"/>
        </w:numPr>
        <w:spacing w:after="40" w:before="40"/>
        <w:ind w:left="720" w:hanging="360"/>
      </w:pPr>
      <w:r>
        <w:rPr>
          <w:rFonts w:ascii="Arial" w:cs="Arial" w:eastAsia="Arial" w:hAnsi="Arial"/>
          <w:color w:val="1A1A2E"/>
          <w:sz w:val="20"/>
          <w:szCs w:val="20"/>
        </w:rPr>
        <w:t xml:space="preserve">The adviser platform is the primary revenue driver — agents pay for a branded white-label CRM, client investor portal, and communication tools. One closed deal pays for 11 years of the Starter plan. This makes RealSight the highest-ROI tool in an adviser's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Strategic goal: attract every DXBinteract user with a free product, then convert advisers and serious investors into paid subscribers by giving them tools DXBinteract cannot offer.</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2. Competitor Landscape</w:t>
      </w:r>
    </w:p>
    <w:p>
      <w:pPr>
        <w:spacing w:after="60" w:before="60"/>
      </w:pPr>
      <w:r>
        <w:rPr>
          <w:rFonts w:ascii="Arial" w:cs="Arial" w:eastAsia="Arial" w:hAnsi="Arial"/>
          <w:b w:val="false"/>
          <w:bCs w:val="false"/>
          <w:i w:val="false"/>
          <w:iCs w:val="false"/>
          <w:color w:val="1A1A2E"/>
          <w:sz w:val="20"/>
          <w:szCs w:val="20"/>
        </w:rPr>
        <w:t xml:space="preserve">Understanding the market requires segmenting it correctly. Dubai real estate data tools fall into four categories: government-funded free tools, enterprise analytics providers, portfolio trackers, and emerging platforms. RealSight competes across all four — but only directly charges for value that none of them provide.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rPr>
          <w:tblHeader/>
        </w:trPr>
        <w:tc>
          <w:tcPr>
            <w:tcW w:type="dxa" w:w="260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Platform</w:t>
            </w:r>
          </w:p>
        </w:tc>
        <w:tc>
          <w:tcPr>
            <w:tcW w:type="dxa" w:w="160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Price</w:t>
            </w:r>
          </w:p>
        </w:tc>
        <w:tc>
          <w:tcPr>
            <w:tcW w:type="dxa" w:w="160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Target User</w:t>
            </w:r>
          </w:p>
        </w:tc>
        <w:tc>
          <w:tcPr>
            <w:tcW w:type="dxa" w:w="160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Data Type</w:t>
            </w:r>
          </w:p>
        </w:tc>
        <w:tc>
          <w:tcPr>
            <w:tcW w:type="dxa" w:w="196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Key Weakness</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8"/>
                <w:szCs w:val="18"/>
              </w:rPr>
              <w:t xml:space="preserve">DXBinteract</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Free (forever)</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Agents &amp; investors</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DLD transactions + project listings</w:t>
            </w:r>
          </w:p>
        </w:tc>
        <w:tc>
          <w:tcPr>
            <w:tcW w:type="dxa" w:w="19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No portfolio tools, no adviser branding, no international</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8"/>
                <w:szCs w:val="18"/>
              </w:rPr>
              <w:t xml:space="preserve">DXBiQ</w:t>
            </w:r>
          </w:p>
        </w:tc>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Free beta → TBD</w:t>
            </w:r>
          </w:p>
        </w:tc>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Agents</w:t>
            </w:r>
          </w:p>
        </w:tc>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DLD raw data, charts</w:t>
            </w:r>
          </w:p>
        </w:tc>
        <w:tc>
          <w:tcPr>
            <w:tcW w:type="dxa" w:w="19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Beta stage, no investor tools, no AI</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8"/>
                <w:szCs w:val="18"/>
              </w:rPr>
              <w:t xml:space="preserve">Reidin</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AED 10,000+/mo</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Institutional / PRE</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Deep analytics, valuations</w:t>
            </w:r>
          </w:p>
        </w:tc>
        <w:tc>
          <w:tcPr>
            <w:tcW w:type="dxa" w:w="19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Enterprise price kills individual agents</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8"/>
                <w:szCs w:val="18"/>
              </w:rPr>
              <w:t xml:space="preserve">Property Monitor</w:t>
            </w:r>
          </w:p>
        </w:tc>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AED 8,000–15,000+/mo</w:t>
            </w:r>
          </w:p>
        </w:tc>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Enterprise / Banks</w:t>
            </w:r>
          </w:p>
        </w:tc>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Valuations, indices</w:t>
            </w:r>
          </w:p>
        </w:tc>
        <w:tc>
          <w:tcPr>
            <w:tcW w:type="dxa" w:w="19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Completely inaccessible to small agents</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8"/>
                <w:szCs w:val="18"/>
              </w:rPr>
              <w:t xml:space="preserve">Stessa (global)</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Free / $12 pro</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Investors</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Portfolio tracker</w:t>
            </w:r>
          </w:p>
        </w:tc>
        <w:tc>
          <w:tcPr>
            <w:tcW w:type="dxa" w:w="19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No Dubai DLD data, no adviser layer</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8"/>
                <w:szCs w:val="18"/>
              </w:rPr>
              <w:t xml:space="preserve">Property Tracker</w:t>
            </w:r>
          </w:p>
        </w:tc>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AED 143–363/mo</w:t>
            </w:r>
          </w:p>
        </w:tc>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Investors</w:t>
            </w:r>
          </w:p>
        </w:tc>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Portfolio tracking</w:t>
            </w:r>
          </w:p>
        </w:tc>
        <w:tc>
          <w:tcPr>
            <w:tcW w:type="dxa" w:w="19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Generic, not Dubai-specific</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8"/>
                <w:szCs w:val="18"/>
              </w:rPr>
              <w:t xml:space="preserve">RealSight</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Free + paid tiers</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Agents + investors</w:t>
            </w:r>
          </w:p>
        </w:tc>
        <w:tc>
          <w:tcPr>
            <w:tcW w:type="dxa" w:w="1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DLD + Reelly + portfolio + AI</w:t>
            </w:r>
          </w:p>
        </w:tc>
        <w:tc>
          <w:tcPr>
            <w:tcW w:type="dxa" w:w="19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Currently being built 🔨</w:t>
            </w:r>
          </w:p>
        </w:tc>
      </w:tr>
    </w:tbl>
    <w:p>
      <w:pPr>
        <w:spacing w:after="0" w:before="120"/>
      </w:pPr>
      <w:r>
        <w:t xml:space="preserve"/>
      </w:r>
    </w:p>
    <w:p>
      <w:pPr>
        <w:pStyle w:val="Heading2"/>
        <w:spacing w:after="120" w:before="240"/>
      </w:pPr>
      <w:r>
        <w:rPr>
          <w:rFonts w:ascii="Arial" w:cs="Arial" w:eastAsia="Arial" w:hAnsi="Arial"/>
          <w:b/>
          <w:bCs/>
          <w:color w:val="2D2D44"/>
          <w:sz w:val="26"/>
          <w:szCs w:val="26"/>
        </w:rPr>
        <w:t xml:space="preserve">2.1 DXBinteract — The Incumbent</w:t>
      </w:r>
    </w:p>
    <w:p>
      <w:pPr>
        <w:spacing w:after="60" w:before="60"/>
      </w:pPr>
      <w:r>
        <w:rPr>
          <w:rFonts w:ascii="Arial" w:cs="Arial" w:eastAsia="Arial" w:hAnsi="Arial"/>
          <w:b w:val="false"/>
          <w:bCs w:val="false"/>
          <w:i w:val="false"/>
          <w:iCs w:val="false"/>
          <w:color w:val="1A1A2E"/>
          <w:sz w:val="20"/>
          <w:szCs w:val="20"/>
        </w:rPr>
        <w:t xml:space="preserve">DXBinteract is the product RealSight must beat for mindshare. It is funded by FAM Properties, one of Dubai's largest brokerages, and operates as a lead-generation instrument rather than a SaaS product. This means it will always be free — and that means RealSight cannot compete on price. It must compete on depth, UX, and adviser tooling.</w:t>
      </w:r>
    </w:p>
    <w:p>
      <w:pPr>
        <w:spacing w:after="0" w:before="60"/>
      </w:pPr>
      <w:r>
        <w:t xml:space="preserve"/>
      </w:r>
    </w:p>
    <w:p>
      <w:pPr>
        <w:spacing w:after="60" w:before="60"/>
      </w:pPr>
      <w:r>
        <w:rPr>
          <w:rFonts w:ascii="Arial" w:cs="Arial" w:eastAsia="Arial" w:hAnsi="Arial"/>
          <w:b w:val="false"/>
          <w:bCs w:val="false"/>
          <w:i w:val="false"/>
          <w:iCs w:val="false"/>
          <w:color w:val="1A1A2E"/>
          <w:sz w:val="20"/>
          <w:szCs w:val="20"/>
        </w:rPr>
        <w:t xml:space="preserve">DXBinteract's weaknesses are structural, not cosmetic:</w:t>
      </w:r>
    </w:p>
    <w:p>
      <w:pPr>
        <w:pStyle w:val="ListParagraph"/>
        <w:numPr>
          <w:ilvl w:val="0"/>
          <w:numId w:val="2"/>
        </w:numPr>
        <w:spacing w:after="40" w:before="40"/>
        <w:ind w:left="720" w:hanging="360"/>
      </w:pPr>
      <w:r>
        <w:rPr>
          <w:rFonts w:ascii="Arial" w:cs="Arial" w:eastAsia="Arial" w:hAnsi="Arial"/>
          <w:color w:val="1A1A2E"/>
          <w:sz w:val="20"/>
          <w:szCs w:val="20"/>
        </w:rPr>
        <w:t xml:space="preserve">No portfolio management or title deed tracking</w:t>
      </w:r>
    </w:p>
    <w:p>
      <w:pPr>
        <w:pStyle w:val="ListParagraph"/>
        <w:numPr>
          <w:ilvl w:val="0"/>
          <w:numId w:val="2"/>
        </w:numPr>
        <w:spacing w:after="40" w:before="40"/>
        <w:ind w:left="720" w:hanging="360"/>
      </w:pPr>
      <w:r>
        <w:rPr>
          <w:rFonts w:ascii="Arial" w:cs="Arial" w:eastAsia="Arial" w:hAnsi="Arial"/>
          <w:color w:val="1A1A2E"/>
          <w:sz w:val="20"/>
          <w:szCs w:val="20"/>
        </w:rPr>
        <w:t xml:space="preserve">No adviser branding, no client sub-portals</w:t>
      </w:r>
    </w:p>
    <w:p>
      <w:pPr>
        <w:pStyle w:val="ListParagraph"/>
        <w:numPr>
          <w:ilvl w:val="0"/>
          <w:numId w:val="2"/>
        </w:numPr>
        <w:spacing w:after="40" w:before="40"/>
        <w:ind w:left="720" w:hanging="360"/>
      </w:pPr>
      <w:r>
        <w:rPr>
          <w:rFonts w:ascii="Arial" w:cs="Arial" w:eastAsia="Arial" w:hAnsi="Arial"/>
          <w:color w:val="1A1A2E"/>
          <w:sz w:val="20"/>
          <w:szCs w:val="20"/>
        </w:rPr>
        <w:t xml:space="preserve">No AI layer — static data only</w:t>
      </w:r>
    </w:p>
    <w:p>
      <w:pPr>
        <w:pStyle w:val="ListParagraph"/>
        <w:numPr>
          <w:ilvl w:val="0"/>
          <w:numId w:val="2"/>
        </w:numPr>
        <w:spacing w:after="40" w:before="40"/>
        <w:ind w:left="720" w:hanging="360"/>
      </w:pPr>
      <w:r>
        <w:rPr>
          <w:rFonts w:ascii="Arial" w:cs="Arial" w:eastAsia="Arial" w:hAnsi="Arial"/>
          <w:color w:val="1A1A2E"/>
          <w:sz w:val="20"/>
          <w:szCs w:val="20"/>
        </w:rPr>
        <w:t xml:space="preserve">No international market coverage</w:t>
      </w:r>
    </w:p>
    <w:p>
      <w:pPr>
        <w:pStyle w:val="ListParagraph"/>
        <w:numPr>
          <w:ilvl w:val="0"/>
          <w:numId w:val="2"/>
        </w:numPr>
        <w:spacing w:after="40" w:before="40"/>
        <w:ind w:left="720" w:hanging="360"/>
      </w:pPr>
      <w:r>
        <w:rPr>
          <w:rFonts w:ascii="Arial" w:cs="Arial" w:eastAsia="Arial" w:hAnsi="Arial"/>
          <w:color w:val="1A1A2E"/>
          <w:sz w:val="20"/>
          <w:szCs w:val="20"/>
        </w:rPr>
        <w:t xml:space="preserve">WhatsApp links route to DXBinteract's own agents, not to the adviser using the platform</w:t>
      </w:r>
    </w:p>
    <w:p>
      <w:pPr>
        <w:pStyle w:val="ListParagraph"/>
        <w:numPr>
          <w:ilvl w:val="0"/>
          <w:numId w:val="2"/>
        </w:numPr>
        <w:spacing w:after="40" w:before="40"/>
        <w:ind w:left="720" w:hanging="360"/>
      </w:pPr>
      <w:r>
        <w:rPr>
          <w:rFonts w:ascii="Arial" w:cs="Arial" w:eastAsia="Arial" w:hAnsi="Arial"/>
          <w:color w:val="1A1A2E"/>
          <w:sz w:val="20"/>
          <w:szCs w:val="20"/>
        </w:rPr>
        <w:t xml:space="preserve">No monthly picks or curated investment recommendations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Key insight: DXBinteract is a lead-gen tool for FAM Properties disguised as a public utility. Every Dubai agent who uses it is sending leads to a competitor. RealSight gives advisers their own branded platform so their clients stay loyal to them — not to DXBinteract.</w:t>
            </w:r>
          </w:p>
        </w:tc>
      </w:tr>
    </w:tbl>
    <w:p>
      <w:pPr>
        <w:spacing w:after="0" w:before="80"/>
      </w:pPr>
      <w:r>
        <w:t xml:space="preserve"/>
      </w:r>
    </w:p>
    <w:p>
      <w:pPr>
        <w:pStyle w:val="Heading2"/>
        <w:spacing w:after="120" w:before="240"/>
      </w:pPr>
      <w:r>
        <w:rPr>
          <w:rFonts w:ascii="Arial" w:cs="Arial" w:eastAsia="Arial" w:hAnsi="Arial"/>
          <w:b/>
          <w:bCs/>
          <w:color w:val="2D2D44"/>
          <w:sz w:val="26"/>
          <w:szCs w:val="26"/>
        </w:rPr>
        <w:t xml:space="preserve">2.2 Enterprise Providers — Not Competing</w:t>
      </w:r>
    </w:p>
    <w:p>
      <w:pPr>
        <w:spacing w:after="60" w:before="60"/>
      </w:pPr>
      <w:r>
        <w:rPr>
          <w:rFonts w:ascii="Arial" w:cs="Arial" w:eastAsia="Arial" w:hAnsi="Arial"/>
          <w:b w:val="false"/>
          <w:bCs w:val="false"/>
          <w:i w:val="false"/>
          <w:iCs w:val="false"/>
          <w:color w:val="1A1A2E"/>
          <w:sz w:val="20"/>
          <w:szCs w:val="20"/>
        </w:rPr>
        <w:t xml:space="preserve">Reidin and Property Monitor charge AED 8,000–15,000+ per month. Their customers are banks, institutional investors, and large developer sales teams. They are not competing for the same users as RealSight and their pricing creates an enormous gap in the middle of the market — the professional individual agent earning AED 18,000–50,000/month who needs real data but cannot justify enterprise pricing.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Market gap: There is no product between 'free DXBinteract' and 'AED 10,000/month Reidin'. RealSight owns that gap at AED 299–999/month.</w:t>
            </w:r>
          </w:p>
        </w:tc>
      </w:tr>
    </w:tbl>
    <w:p>
      <w:pPr>
        <w:spacing w:after="0" w:before="80"/>
      </w:pPr>
      <w:r>
        <w:t xml:space="preserve"/>
      </w:r>
    </w:p>
    <w:p>
      <w:pPr>
        <w:pStyle w:val="Heading2"/>
        <w:spacing w:after="120" w:before="240"/>
      </w:pPr>
      <w:r>
        <w:rPr>
          <w:rFonts w:ascii="Arial" w:cs="Arial" w:eastAsia="Arial" w:hAnsi="Arial"/>
          <w:b/>
          <w:bCs/>
          <w:color w:val="2D2D44"/>
          <w:sz w:val="26"/>
          <w:szCs w:val="26"/>
        </w:rPr>
        <w:t xml:space="preserve">2.3 Global Portfolio Trackers</w:t>
      </w:r>
    </w:p>
    <w:p>
      <w:pPr>
        <w:spacing w:after="60" w:before="60"/>
      </w:pPr>
      <w:r>
        <w:rPr>
          <w:rFonts w:ascii="Arial" w:cs="Arial" w:eastAsia="Arial" w:hAnsi="Arial"/>
          <w:b w:val="false"/>
          <w:bCs w:val="false"/>
          <w:i w:val="false"/>
          <w:iCs w:val="false"/>
          <w:color w:val="1A1A2E"/>
          <w:sz w:val="20"/>
          <w:szCs w:val="20"/>
        </w:rPr>
        <w:t xml:space="preserve">Stessa, Property Tracker, and Snowball are generic property portfolio tools. None of them have Dubai DLD data, none speak Arabic, and none understand the UAE market. They confirm a global willingness to pay for portfolio management (even at $12–$99/month in much lower-income markets), validating RealSight's AED 99/month Investor Pro tier.</w:t>
      </w:r>
    </w:p>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3. Plan Architecture</w:t>
      </w:r>
    </w:p>
    <w:p>
      <w:pPr>
        <w:spacing w:after="60" w:before="60"/>
      </w:pPr>
      <w:r>
        <w:rPr>
          <w:rFonts w:ascii="Arial" w:cs="Arial" w:eastAsia="Arial" w:hAnsi="Arial"/>
          <w:b w:val="false"/>
          <w:bCs w:val="false"/>
          <w:i w:val="false"/>
          <w:iCs w:val="false"/>
          <w:color w:val="1A1A2E"/>
          <w:sz w:val="20"/>
          <w:szCs w:val="20"/>
        </w:rPr>
        <w:t xml:space="preserve">RealSight offers five plans across two user types. The segmentation is intentional: investors get the benefit of the platform at zero cost, and only pay when they want to actively manage their portfolio. Advisers pay for a professional tool that replaces, at a fraction of the cost, the CRM + data + communication stack they currently cobble together.</w:t>
      </w:r>
    </w:p>
    <w:p>
      <w:pPr>
        <w:spacing w:after="0" w:before="120"/>
      </w:pPr>
      <w:r>
        <w:t xml:space="preserve"/>
      </w:r>
    </w:p>
    <w:p>
      <w:pPr>
        <w:pStyle w:val="Heading2"/>
        <w:spacing w:after="120" w:before="240"/>
      </w:pPr>
      <w:r>
        <w:rPr>
          <w:rFonts w:ascii="Arial" w:cs="Arial" w:eastAsia="Arial" w:hAnsi="Arial"/>
          <w:b/>
          <w:bCs/>
          <w:color w:val="2D2D44"/>
          <w:sz w:val="26"/>
          <w:szCs w:val="26"/>
        </w:rPr>
        <w:t xml:space="preserve">3.1 Explorer —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2D2D44" w:sz="1"/>
              <w:left w:val="single" w:color="2D2D44" w:sz="1"/>
              <w:bottom w:val="single" w:color="2D2D44" w:sz="1"/>
              <w:right w:val="single" w:color="2D2D44" w:sz="1"/>
            </w:tcBorders>
            <w:shd w:fill="2D2D44"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Tier</w:t>
            </w:r>
          </w:p>
        </w:tc>
        <w:tc>
          <w:tcPr>
            <w:tcW w:type="dxa" w:w="7760"/>
            <w:gridSpan w:val="1"/>
            <w:tcBorders>
              <w:top w:val="single" w:color="2D2D44" w:sz="1"/>
              <w:left w:val="single" w:color="2D2D44" w:sz="1"/>
              <w:bottom w:val="single" w:color="2D2D44" w:sz="1"/>
              <w:right w:val="single" w:color="2D2D44" w:sz="1"/>
            </w:tcBorders>
            <w:shd w:fill="2D2D44"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Explorer — Free Forever</w:t>
            </w:r>
          </w:p>
        </w:tc>
      </w:tr>
      <w:tr>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Target</w:t>
            </w:r>
          </w:p>
        </w:tc>
        <w:tc>
          <w:tcPr>
            <w:tcW w:type="dxa" w:w="77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Any person interested in Dubai real estate — investors, end-users, researchers, journalists, students</w:t>
            </w:r>
          </w:p>
        </w:tc>
      </w:tr>
      <w:tr>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Price</w:t>
            </w:r>
          </w:p>
        </w:tc>
        <w:tc>
          <w:tcPr>
            <w:tcW w:type="dxa" w:w="77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20"/>
                <w:szCs w:val="20"/>
              </w:rPr>
              <w:t xml:space="preserve">AED 0 — permanently free, no credit card required</w:t>
            </w:r>
          </w:p>
        </w:tc>
      </w:tr>
      <w:tr>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Core Value</w:t>
            </w:r>
          </w:p>
        </w:tc>
        <w:tc>
          <w:tcPr>
            <w:tcW w:type="dxa" w:w="77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Full market research: heatmap, DLD transactions, area price history, developer projects, Reelly.ai listings, WhatsApp agent contact buttons</w:t>
            </w:r>
          </w:p>
        </w:tc>
      </w:tr>
      <w:tr>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Why Free</w:t>
            </w:r>
          </w:p>
        </w:tc>
        <w:tc>
          <w:tcPr>
            <w:tcW w:type="dxa" w:w="776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Matches DXBinteract. No friction to sign up. Every Explorer is a potential Portfolio Pro or a future investor routed to an Adviser subscriber.</w:t>
            </w:r>
          </w:p>
        </w:tc>
      </w:tr>
    </w:tbl>
    <w:p>
      <w:pPr>
        <w:spacing w:after="0" w:before="120"/>
      </w:pPr>
      <w:r>
        <w:t xml:space="preserve"/>
      </w:r>
    </w:p>
    <w:p>
      <w:pPr>
        <w:pStyle w:val="Heading2"/>
        <w:spacing w:after="120" w:before="240"/>
      </w:pPr>
      <w:r>
        <w:rPr>
          <w:rFonts w:ascii="Arial" w:cs="Arial" w:eastAsia="Arial" w:hAnsi="Arial"/>
          <w:b/>
          <w:bCs/>
          <w:color w:val="2D2D44"/>
          <w:sz w:val="26"/>
          <w:szCs w:val="26"/>
        </w:rPr>
        <w:t xml:space="preserve">3.2 Portfolio Pro — AED 99/month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Tier</w:t>
            </w:r>
          </w:p>
        </w:tc>
        <w:tc>
          <w:tcPr>
            <w:tcW w:type="dxa" w:w="776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Portfolio Pro — AED 99/month (AED 79/month annual)</w:t>
            </w:r>
          </w:p>
        </w:tc>
      </w:tr>
      <w:tr>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Target</w:t>
            </w:r>
          </w:p>
        </w:tc>
        <w:tc>
          <w:tcPr>
            <w:tcW w:type="dxa" w:w="77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Individual investors who own or are buying Dubai property and want to track performance</w:t>
            </w:r>
          </w:p>
        </w:tc>
      </w:tr>
      <w:tr>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Price</w:t>
            </w:r>
          </w:p>
        </w:tc>
        <w:tc>
          <w:tcPr>
            <w:tcW w:type="dxa" w:w="77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AED 99/month (~USD 27) — less than the cost of a single Deliveroo order in Dubai</w:t>
            </w:r>
          </w:p>
        </w:tc>
      </w:tr>
      <w:tr>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Includes</w:t>
            </w:r>
          </w:p>
        </w:tc>
        <w:tc>
          <w:tcPr>
            <w:tcW w:type="dxa" w:w="77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Portfolio tracker, title deed upload &amp; validation, live P&amp;L, ROI &amp; yield calculator, AI Concierge (property Q&amp;A), everything in Explorer</w:t>
            </w:r>
          </w:p>
        </w:tc>
      </w:tr>
      <w:tr>
        <w:tc>
          <w:tcPr>
            <w:tcW w:type="dxa" w:w="1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Conversion Hook</w:t>
            </w:r>
          </w:p>
        </w:tc>
        <w:tc>
          <w:tcPr>
            <w:tcW w:type="dxa" w:w="776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Investors who start using the Explorer heatmap to research areas will naturally want to track their own units against the same data. The upgrade CTA appears contextually when they try to add a holding.</w:t>
            </w:r>
          </w:p>
        </w:tc>
      </w:tr>
    </w:tbl>
    <w:p>
      <w:pPr>
        <w:spacing w:after="0" w:before="120"/>
      </w:pPr>
      <w:r>
        <w:t xml:space="preserve"/>
      </w:r>
    </w:p>
    <w:p>
      <w:r>
        <w:br w:type="page"/>
      </w:r>
    </w:p>
    <w:p>
      <w:pPr>
        <w:pStyle w:val="Heading2"/>
        <w:spacing w:after="120" w:before="240"/>
      </w:pPr>
      <w:r>
        <w:rPr>
          <w:rFonts w:ascii="Arial" w:cs="Arial" w:eastAsia="Arial" w:hAnsi="Arial"/>
          <w:b/>
          <w:bCs/>
          <w:color w:val="2D2D44"/>
          <w:sz w:val="26"/>
          <w:szCs w:val="26"/>
        </w:rPr>
        <w:t xml:space="preserve">3.3 Adviser Plans</w:t>
      </w:r>
    </w:p>
    <w:p>
      <w:pPr>
        <w:spacing w:after="60" w:before="60"/>
      </w:pPr>
      <w:r>
        <w:rPr>
          <w:rFonts w:ascii="Arial" w:cs="Arial" w:eastAsia="Arial" w:hAnsi="Arial"/>
          <w:b w:val="false"/>
          <w:bCs w:val="false"/>
          <w:i w:val="false"/>
          <w:iCs w:val="false"/>
          <w:color w:val="1A1A2E"/>
          <w:sz w:val="20"/>
          <w:szCs w:val="20"/>
        </w:rPr>
        <w:t xml:space="preserve">All three Adviser plans share a common foundation: a branded subdomain (e.g. alex.realsight.app), a white-label client portal, the ability to onboard investor clients, and the full research stack. They are differentiated by scale, support level, and advanced features.</w:t>
      </w:r>
    </w:p>
    <w:p>
      <w:pPr>
        <w:spacing w:after="0" w:before="80"/>
      </w:pPr>
      <w:r>
        <w:t xml:space="preserve"/>
      </w:r>
    </w:p>
    <w:p>
      <w:pPr>
        <w:pStyle w:val="Heading3"/>
        <w:spacing w:after="80" w:before="180"/>
      </w:pPr>
      <w:r>
        <w:rPr>
          <w:rFonts w:ascii="Arial" w:cs="Arial" w:eastAsia="Arial" w:hAnsi="Arial"/>
          <w:b/>
          <w:bCs/>
          <w:color w:val="4A4A6A"/>
          <w:sz w:val="22"/>
          <w:szCs w:val="22"/>
        </w:rPr>
        <w:t xml:space="preserve">Adviser Starter — AED 299/month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Best For</w:t>
            </w:r>
          </w:p>
        </w:tc>
        <w:tc>
          <w:tcPr>
            <w:tcW w:type="dxa" w:w="71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Independent agents, new to RealSight, testing the platform with a small client base</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Investor Clients</w:t>
            </w:r>
          </w:p>
        </w:tc>
        <w:tc>
          <w:tcPr>
            <w:tcW w:type="dxa" w:w="71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 to 15 managed investor accounts</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Key Features</w:t>
            </w:r>
          </w:p>
        </w:tc>
        <w:tc>
          <w:tcPr>
            <w:tcW w:type="dxa" w:w="71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Branded subdomain, custom colour &amp; logo, Monthly Picks publishing, WhatsApp share &amp; enquiry buttons, investor portfolio management, admin dashboard, AI Concierge, all research tools</w:t>
            </w:r>
          </w:p>
        </w:tc>
      </w:tr>
      <w:tr>
        <w:tc>
          <w:tcPr>
            <w:tcW w:type="dxa" w:w="220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Annual Price</w:t>
            </w:r>
          </w:p>
        </w:tc>
        <w:tc>
          <w:tcPr>
            <w:tcW w:type="dxa" w:w="716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AED 2,868/year (save AED 720) — less than 10% of a single standard commission</w:t>
            </w:r>
          </w:p>
        </w:tc>
      </w:tr>
    </w:tbl>
    <w:p>
      <w:pPr>
        <w:spacing w:after="0" w:before="80"/>
      </w:pPr>
      <w:r>
        <w:t xml:space="preserve"/>
      </w:r>
    </w:p>
    <w:p>
      <w:pPr>
        <w:pStyle w:val="Heading3"/>
        <w:spacing w:after="80" w:before="180"/>
      </w:pPr>
      <w:r>
        <w:rPr>
          <w:rFonts w:ascii="Arial" w:cs="Arial" w:eastAsia="Arial" w:hAnsi="Arial"/>
          <w:b/>
          <w:bCs/>
          <w:color w:val="4A4A6A"/>
          <w:sz w:val="22"/>
          <w:szCs w:val="22"/>
        </w:rPr>
        <w:t xml:space="preserve">Adviser Growth — AED 599/month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Best For</w:t>
            </w:r>
          </w:p>
        </w:tc>
        <w:tc>
          <w:tcPr>
            <w:tcW w:type="dxa" w:w="71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Active agents with an established client book, wanting a professional custom domain and better analytics</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Investor Clients</w:t>
            </w:r>
          </w:p>
        </w:tc>
        <w:tc>
          <w:tcPr>
            <w:tcW w:type="dxa" w:w="71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 to 50 managed investor accounts</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Adds over Starter</w:t>
            </w:r>
          </w:p>
        </w:tc>
        <w:tc>
          <w:tcPr>
            <w:tcW w:type="dxa" w:w="71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Custom domain (e.g. yourname.com), engagement analytics dashboard, priority support</w:t>
            </w:r>
          </w:p>
        </w:tc>
      </w:tr>
      <w:tr>
        <w:tc>
          <w:tcPr>
            <w:tcW w:type="dxa" w:w="220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Annual Price</w:t>
            </w:r>
          </w:p>
        </w:tc>
        <w:tc>
          <w:tcPr>
            <w:tcW w:type="dxa" w:w="716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AED 5,748/year (save AED 1,440)</w:t>
            </w:r>
          </w:p>
        </w:tc>
      </w:tr>
    </w:tbl>
    <w:p>
      <w:pPr>
        <w:spacing w:after="0" w:before="80"/>
      </w:pPr>
      <w:r>
        <w:t xml:space="preserve"/>
      </w:r>
    </w:p>
    <w:p>
      <w:pPr>
        <w:pStyle w:val="Heading3"/>
        <w:spacing w:after="80" w:before="180"/>
      </w:pPr>
      <w:r>
        <w:rPr>
          <w:rFonts w:ascii="Arial" w:cs="Arial" w:eastAsia="Arial" w:hAnsi="Arial"/>
          <w:b/>
          <w:bCs/>
          <w:color w:val="4A4A6A"/>
          <w:sz w:val="22"/>
          <w:szCs w:val="22"/>
        </w:rPr>
        <w:t xml:space="preserve">Adviser Scale — AED 999/month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Best For</w:t>
            </w:r>
          </w:p>
        </w:tc>
        <w:tc>
          <w:tcPr>
            <w:tcW w:type="dxa" w:w="71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Small agencies, team leads, advisers managing large portfolios or international clients across multiple markets</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Investor Clients</w:t>
            </w:r>
          </w:p>
        </w:tc>
        <w:tc>
          <w:tcPr>
            <w:tcW w:type="dxa" w:w="71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Unlimited managed investor accounts</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Adds over Growth</w:t>
            </w:r>
          </w:p>
        </w:tc>
        <w:tc>
          <w:tcPr>
            <w:tcW w:type="dxa" w:w="71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Lead capture forms, multiple team members, API access (partner tier for integrations), white-glove onboarding</w:t>
            </w:r>
          </w:p>
        </w:tc>
      </w:tr>
      <w:tr>
        <w:tc>
          <w:tcPr>
            <w:tcW w:type="dxa" w:w="220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Annual Price</w:t>
            </w:r>
          </w:p>
        </w:tc>
        <w:tc>
          <w:tcPr>
            <w:tcW w:type="dxa" w:w="716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AED 9,588/year (save AED 2,400) — still just one deal per year to break even</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4. 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3"/>
        <w:gridCol w:w="1433"/>
        <w:gridCol w:w="1433"/>
        <w:gridCol w:w="1431"/>
        <w:gridCol w:w="1430"/>
      </w:tblGrid>
      <w:tr>
        <w:trPr>
          <w:tblHeader/>
        </w:trPr>
        <w:tc>
          <w:tcPr>
            <w:tcW w:type="dxa" w:w="220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Plan</w:t>
            </w:r>
          </w:p>
        </w:tc>
        <w:tc>
          <w:tcPr>
            <w:tcW w:type="dxa" w:w="1433"/>
            <w:gridSpan w:val="1"/>
            <w:tcBorders>
              <w:top w:val="single" w:color="2D2D44" w:sz="1"/>
              <w:left w:val="single" w:color="2D2D44" w:sz="1"/>
              <w:bottom w:val="single" w:color="2D2D44" w:sz="1"/>
              <w:right w:val="single" w:color="2D2D44" w:sz="1"/>
            </w:tcBorders>
            <w:shd w:fill="2D2D44"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Explorer</w:t>
            </w:r>
          </w:p>
        </w:tc>
        <w:tc>
          <w:tcPr>
            <w:tcW w:type="dxa" w:w="1433"/>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Portfolio Pro</w:t>
            </w:r>
          </w:p>
        </w:tc>
        <w:tc>
          <w:tcPr>
            <w:tcW w:type="dxa" w:w="1433"/>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Adviser Starter</w:t>
            </w:r>
          </w:p>
        </w:tc>
        <w:tc>
          <w:tcPr>
            <w:tcW w:type="dxa" w:w="1431"/>
            <w:gridSpan w:val="1"/>
            <w:tcBorders>
              <w:top w:val="single" w:color="2D2D44" w:sz="1"/>
              <w:left w:val="single" w:color="2D2D44" w:sz="1"/>
              <w:bottom w:val="single" w:color="2D2D44" w:sz="1"/>
              <w:right w:val="single" w:color="2D2D44" w:sz="1"/>
            </w:tcBorders>
            <w:shd w:fill="2D2D44"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Adviser Growth</w:t>
            </w:r>
          </w:p>
        </w:tc>
        <w:tc>
          <w:tcPr>
            <w:tcW w:type="dxa" w:w="143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Adviser Scale</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Monthly Price</w:t>
            </w:r>
          </w:p>
        </w:tc>
        <w:tc>
          <w:tcPr>
            <w:tcW w:type="dxa" w:w="1433"/>
            <w:tcBorders>
              <w:top w:val="single" w:color="CAAF6C" w:sz="1"/>
              <w:left w:val="single" w:color="CAAF6C" w:sz="1"/>
              <w:bottom w:val="single" w:color="CAAF6C" w:sz="1"/>
              <w:right w:val="single" w:color="CAAF6C" w:sz="1"/>
            </w:tcBorders>
            <w:shd w:fill="F0E8D0" w:val="clear"/>
            <w:tcMar>
              <w:top w:type="dxa" w:w="100"/>
              <w:left w:type="dxa" w:w="80"/>
              <w:bottom w:type="dxa" w:w="100"/>
              <w:right w:type="dxa" w:w="80"/>
            </w:tcMar>
            <w:vAlign w:val="center"/>
          </w:tcPr>
          <w:p>
            <w:pPr>
              <w:jc w:val="center"/>
            </w:pPr>
            <w:r>
              <w:rPr>
                <w:rFonts w:ascii="Arial" w:cs="Arial" w:eastAsia="Arial" w:hAnsi="Arial"/>
                <w:b/>
                <w:bCs/>
                <w:color w:val="1A1A2E"/>
                <w:sz w:val="22"/>
                <w:szCs w:val="22"/>
              </w:rPr>
              <w:t xml:space="preserve">FREE</w:t>
            </w:r>
          </w:p>
          <w:p>
            <w:pPr>
              <w:jc w:val="center"/>
            </w:pPr>
            <w:r>
              <w:rPr>
                <w:rFonts w:ascii="Arial" w:cs="Arial" w:eastAsia="Arial" w:hAnsi="Arial"/>
                <w:color w:val="4A4A6A"/>
                <w:sz w:val="16"/>
                <w:szCs w:val="16"/>
              </w:rPr>
              <w:t xml:space="preserve">Forever</w:t>
            </w:r>
          </w:p>
        </w:tc>
        <w:tc>
          <w:tcPr>
            <w:tcW w:type="dxa" w:w="1433"/>
            <w:tcBorders>
              <w:top w:val="single" w:color="CAAF6C" w:sz="1"/>
              <w:left w:val="single" w:color="CAAF6C" w:sz="1"/>
              <w:bottom w:val="single" w:color="CAAF6C" w:sz="1"/>
              <w:right w:val="single" w:color="CAAF6C" w:sz="1"/>
            </w:tcBorders>
            <w:shd w:fill="F0E8D0" w:val="clear"/>
            <w:tcMar>
              <w:top w:type="dxa" w:w="100"/>
              <w:left w:type="dxa" w:w="80"/>
              <w:bottom w:type="dxa" w:w="100"/>
              <w:right w:type="dxa" w:w="80"/>
            </w:tcMar>
            <w:vAlign w:val="center"/>
          </w:tcPr>
          <w:p>
            <w:pPr>
              <w:jc w:val="center"/>
            </w:pPr>
            <w:r>
              <w:rPr>
                <w:rFonts w:ascii="Arial" w:cs="Arial" w:eastAsia="Arial" w:hAnsi="Arial"/>
                <w:b/>
                <w:bCs/>
                <w:color w:val="1A1A2E"/>
                <w:sz w:val="22"/>
                <w:szCs w:val="22"/>
              </w:rPr>
              <w:t xml:space="preserve">AED 99/mo</w:t>
            </w:r>
          </w:p>
          <w:p>
            <w:pPr>
              <w:jc w:val="center"/>
            </w:pPr>
            <w:r>
              <w:rPr>
                <w:rFonts w:ascii="Arial" w:cs="Arial" w:eastAsia="Arial" w:hAnsi="Arial"/>
                <w:color w:val="4A4A6A"/>
                <w:sz w:val="16"/>
                <w:szCs w:val="16"/>
              </w:rPr>
              <w:t xml:space="preserve">~AED 79 annual</w:t>
            </w:r>
          </w:p>
        </w:tc>
        <w:tc>
          <w:tcPr>
            <w:tcW w:type="dxa" w:w="1433"/>
            <w:tcBorders>
              <w:top w:val="single" w:color="CAAF6C" w:sz="1"/>
              <w:left w:val="single" w:color="CAAF6C" w:sz="1"/>
              <w:bottom w:val="single" w:color="CAAF6C" w:sz="1"/>
              <w:right w:val="single" w:color="CAAF6C" w:sz="1"/>
            </w:tcBorders>
            <w:shd w:fill="F0E8D0" w:val="clear"/>
            <w:tcMar>
              <w:top w:type="dxa" w:w="100"/>
              <w:left w:type="dxa" w:w="80"/>
              <w:bottom w:type="dxa" w:w="100"/>
              <w:right w:type="dxa" w:w="80"/>
            </w:tcMar>
            <w:vAlign w:val="center"/>
          </w:tcPr>
          <w:p>
            <w:pPr>
              <w:jc w:val="center"/>
            </w:pPr>
            <w:r>
              <w:rPr>
                <w:rFonts w:ascii="Arial" w:cs="Arial" w:eastAsia="Arial" w:hAnsi="Arial"/>
                <w:b/>
                <w:bCs/>
                <w:color w:val="1A1A2E"/>
                <w:sz w:val="22"/>
                <w:szCs w:val="22"/>
              </w:rPr>
              <w:t xml:space="preserve">AED 299/mo</w:t>
            </w:r>
          </w:p>
          <w:p>
            <w:pPr>
              <w:jc w:val="center"/>
            </w:pPr>
            <w:r>
              <w:rPr>
                <w:rFonts w:ascii="Arial" w:cs="Arial" w:eastAsia="Arial" w:hAnsi="Arial"/>
                <w:color w:val="4A4A6A"/>
                <w:sz w:val="16"/>
                <w:szCs w:val="16"/>
              </w:rPr>
              <w:t xml:space="preserve">~AED 239 annual</w:t>
            </w:r>
          </w:p>
        </w:tc>
        <w:tc>
          <w:tcPr>
            <w:tcW w:type="dxa" w:w="1431"/>
            <w:tcBorders>
              <w:top w:val="single" w:color="CAAF6C" w:sz="1"/>
              <w:left w:val="single" w:color="CAAF6C" w:sz="1"/>
              <w:bottom w:val="single" w:color="CAAF6C" w:sz="1"/>
              <w:right w:val="single" w:color="CAAF6C" w:sz="1"/>
            </w:tcBorders>
            <w:shd w:fill="F0E8D0" w:val="clear"/>
            <w:tcMar>
              <w:top w:type="dxa" w:w="100"/>
              <w:left w:type="dxa" w:w="80"/>
              <w:bottom w:type="dxa" w:w="100"/>
              <w:right w:type="dxa" w:w="80"/>
            </w:tcMar>
            <w:vAlign w:val="center"/>
          </w:tcPr>
          <w:p>
            <w:pPr>
              <w:jc w:val="center"/>
            </w:pPr>
            <w:r>
              <w:rPr>
                <w:rFonts w:ascii="Arial" w:cs="Arial" w:eastAsia="Arial" w:hAnsi="Arial"/>
                <w:b/>
                <w:bCs/>
                <w:color w:val="1A1A2E"/>
                <w:sz w:val="22"/>
                <w:szCs w:val="22"/>
              </w:rPr>
              <w:t xml:space="preserve">AED 599/mo</w:t>
            </w:r>
          </w:p>
          <w:p>
            <w:pPr>
              <w:jc w:val="center"/>
            </w:pPr>
            <w:r>
              <w:rPr>
                <w:rFonts w:ascii="Arial" w:cs="Arial" w:eastAsia="Arial" w:hAnsi="Arial"/>
                <w:color w:val="4A4A6A"/>
                <w:sz w:val="16"/>
                <w:szCs w:val="16"/>
              </w:rPr>
              <w:t xml:space="preserve">~AED 479 annual</w:t>
            </w:r>
          </w:p>
        </w:tc>
        <w:tc>
          <w:tcPr>
            <w:tcW w:type="dxa" w:w="1430"/>
            <w:tcBorders>
              <w:top w:val="single" w:color="CAAF6C" w:sz="1"/>
              <w:left w:val="single" w:color="CAAF6C" w:sz="1"/>
              <w:bottom w:val="single" w:color="CAAF6C" w:sz="1"/>
              <w:right w:val="single" w:color="CAAF6C" w:sz="1"/>
            </w:tcBorders>
            <w:shd w:fill="F0E8D0" w:val="clear"/>
            <w:tcMar>
              <w:top w:type="dxa" w:w="100"/>
              <w:left w:type="dxa" w:w="80"/>
              <w:bottom w:type="dxa" w:w="100"/>
              <w:right w:type="dxa" w:w="80"/>
            </w:tcMar>
            <w:vAlign w:val="center"/>
          </w:tcPr>
          <w:p>
            <w:pPr>
              <w:jc w:val="center"/>
            </w:pPr>
            <w:r>
              <w:rPr>
                <w:rFonts w:ascii="Arial" w:cs="Arial" w:eastAsia="Arial" w:hAnsi="Arial"/>
                <w:b/>
                <w:bCs/>
                <w:color w:val="1A1A2E"/>
                <w:sz w:val="22"/>
                <w:szCs w:val="22"/>
              </w:rPr>
              <w:t xml:space="preserve">AED 999/mo</w:t>
            </w:r>
          </w:p>
          <w:p>
            <w:pPr>
              <w:jc w:val="center"/>
            </w:pPr>
            <w:r>
              <w:rPr>
                <w:rFonts w:ascii="Arial" w:cs="Arial" w:eastAsia="Arial" w:hAnsi="Arial"/>
                <w:color w:val="4A4A6A"/>
                <w:sz w:val="16"/>
                <w:szCs w:val="16"/>
              </w:rPr>
              <w:t xml:space="preserve">~AED 799 annual</w:t>
            </w:r>
          </w:p>
        </w:tc>
      </w:tr>
      <w:tr>
        <w:tc>
          <w:tcPr>
            <w:tcW w:type="dxa" w:w="2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Best For</w:t>
            </w:r>
          </w:p>
        </w:tc>
        <w:tc>
          <w:tcPr>
            <w:tcW w:type="dxa" w:w="1433"/>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8"/>
                <w:szCs w:val="18"/>
              </w:rPr>
              <w:t xml:space="preserve">Anyone</w:t>
            </w:r>
          </w:p>
        </w:tc>
        <w:tc>
          <w:tcPr>
            <w:tcW w:type="dxa" w:w="1433"/>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8"/>
                <w:szCs w:val="18"/>
              </w:rPr>
              <w:t xml:space="preserve">Investors</w:t>
            </w:r>
          </w:p>
        </w:tc>
        <w:tc>
          <w:tcPr>
            <w:tcW w:type="dxa" w:w="1433"/>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8"/>
                <w:szCs w:val="18"/>
              </w:rPr>
              <w:t xml:space="preserve">Independent agents</w:t>
            </w:r>
          </w:p>
        </w:tc>
        <w:tc>
          <w:tcPr>
            <w:tcW w:type="dxa" w:w="1431"/>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8"/>
                <w:szCs w:val="18"/>
              </w:rPr>
              <w:t xml:space="preserve">Small agencies</w:t>
            </w:r>
          </w:p>
        </w:tc>
        <w:tc>
          <w:tcPr>
            <w:tcW w:type="dxa" w:w="143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8"/>
                <w:szCs w:val="18"/>
              </w:rPr>
              <w:t xml:space="preserve">Teams / agencies</w:t>
            </w:r>
          </w:p>
        </w:tc>
      </w:tr>
      <w:tr>
        <w:tc>
          <w:tcPr>
            <w:tcW w:type="dxa" w:w="2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Annual Saving (20% off)</w:t>
            </w:r>
          </w:p>
        </w:tc>
        <w:tc>
          <w:tcPr>
            <w:tcW w:type="dxa" w:w="1433"/>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AAAAAA"/>
                <w:sz w:val="18"/>
                <w:szCs w:val="18"/>
              </w:rPr>
              <w:t xml:space="preserve">—</w:t>
            </w:r>
          </w:p>
        </w:tc>
        <w:tc>
          <w:tcPr>
            <w:tcW w:type="dxa" w:w="1433"/>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18"/>
                <w:szCs w:val="18"/>
              </w:rPr>
              <w:t xml:space="preserve">AED 240/yr</w:t>
            </w:r>
          </w:p>
        </w:tc>
        <w:tc>
          <w:tcPr>
            <w:tcW w:type="dxa" w:w="1433"/>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18"/>
                <w:szCs w:val="18"/>
              </w:rPr>
              <w:t xml:space="preserve">AED 720/yr</w:t>
            </w:r>
          </w:p>
        </w:tc>
        <w:tc>
          <w:tcPr>
            <w:tcW w:type="dxa" w:w="1431"/>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18"/>
                <w:szCs w:val="18"/>
              </w:rPr>
              <w:t xml:space="preserve">AED 1,440/yr</w:t>
            </w:r>
          </w:p>
        </w:tc>
        <w:tc>
          <w:tcPr>
            <w:tcW w:type="dxa" w:w="143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18"/>
                <w:szCs w:val="18"/>
              </w:rPr>
              <w:t xml:space="preserve">AED 2,400/yr</w:t>
            </w:r>
          </w:p>
        </w:tc>
      </w:tr>
    </w:tbl>
    <w:p>
      <w:pPr>
        <w:spacing w:after="0" w:before="120"/>
      </w:pPr>
      <w:r>
        <w:t xml:space="preserve"/>
      </w:r>
    </w:p>
    <w:p>
      <w:pPr>
        <w:pStyle w:val="Heading2"/>
        <w:spacing w:after="120" w:before="240"/>
      </w:pPr>
      <w:r>
        <w:rPr>
          <w:rFonts w:ascii="Arial" w:cs="Arial" w:eastAsia="Arial" w:hAnsi="Arial"/>
          <w:b/>
          <w:bCs/>
          <w:color w:val="2D2D44"/>
          <w:sz w:val="26"/>
          <w:szCs w:val="26"/>
        </w:rPr>
        <w:t xml:space="preserve">4.1 Annual Billing Incentive</w:t>
      </w:r>
    </w:p>
    <w:p>
      <w:pPr>
        <w:spacing w:after="60" w:before="60"/>
      </w:pPr>
      <w:r>
        <w:rPr>
          <w:rFonts w:ascii="Arial" w:cs="Arial" w:eastAsia="Arial" w:hAnsi="Arial"/>
          <w:b w:val="false"/>
          <w:bCs w:val="false"/>
          <w:i w:val="false"/>
          <w:iCs w:val="false"/>
          <w:color w:val="1A1A2E"/>
          <w:sz w:val="20"/>
          <w:szCs w:val="20"/>
        </w:rPr>
        <w:t xml:space="preserve">All paid plans offer a 20% discount for annual prepayment. This improves cash flow, reduces churn risk, and locks in advisers for a full season. The annual price is presented alongside the monthly price at signup to anchor perception on value.</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1A1A2E"/>
          <w:sz w:val="20"/>
          <w:szCs w:val="20"/>
        </w:rPr>
        <w:t xml:space="preserve">Portfolio Pro: AED 99/month → AED 79/month (paid annually = AED 948/year)</w:t>
      </w:r>
    </w:p>
    <w:p>
      <w:pPr>
        <w:pStyle w:val="ListParagraph"/>
        <w:numPr>
          <w:ilvl w:val="0"/>
          <w:numId w:val="2"/>
        </w:numPr>
        <w:spacing w:after="40" w:before="40"/>
        <w:ind w:left="720" w:hanging="360"/>
      </w:pPr>
      <w:r>
        <w:rPr>
          <w:rFonts w:ascii="Arial" w:cs="Arial" w:eastAsia="Arial" w:hAnsi="Arial"/>
          <w:color w:val="1A1A2E"/>
          <w:sz w:val="20"/>
          <w:szCs w:val="20"/>
        </w:rPr>
        <w:t xml:space="preserve">Adviser Starter: AED 299/month → AED 239/month (paid annually = AED 2,868/year)</w:t>
      </w:r>
    </w:p>
    <w:p>
      <w:pPr>
        <w:pStyle w:val="ListParagraph"/>
        <w:numPr>
          <w:ilvl w:val="0"/>
          <w:numId w:val="2"/>
        </w:numPr>
        <w:spacing w:after="40" w:before="40"/>
        <w:ind w:left="720" w:hanging="360"/>
      </w:pPr>
      <w:r>
        <w:rPr>
          <w:rFonts w:ascii="Arial" w:cs="Arial" w:eastAsia="Arial" w:hAnsi="Arial"/>
          <w:color w:val="1A1A2E"/>
          <w:sz w:val="20"/>
          <w:szCs w:val="20"/>
        </w:rPr>
        <w:t xml:space="preserve">Adviser Growth: AED 599/month → AED 479/month (paid annually = AED 5,748/year)</w:t>
      </w:r>
    </w:p>
    <w:p>
      <w:pPr>
        <w:pStyle w:val="ListParagraph"/>
        <w:numPr>
          <w:ilvl w:val="0"/>
          <w:numId w:val="2"/>
        </w:numPr>
        <w:spacing w:after="40" w:before="40"/>
        <w:ind w:left="720" w:hanging="360"/>
      </w:pPr>
      <w:r>
        <w:rPr>
          <w:rFonts w:ascii="Arial" w:cs="Arial" w:eastAsia="Arial" w:hAnsi="Arial"/>
          <w:color w:val="1A1A2E"/>
          <w:sz w:val="20"/>
          <w:szCs w:val="20"/>
        </w:rPr>
        <w:t xml:space="preserve">Adviser Scale: AED 999/month → AED 799/month (paid annually = AED 9,588/year)</w:t>
      </w:r>
    </w:p>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5. Full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1440"/>
        <w:gridCol w:w="1440"/>
        <w:gridCol w:w="1400"/>
      </w:tblGrid>
      <w:tr>
        <w:trPr>
          <w:tblHeader/>
        </w:trPr>
        <w:tc>
          <w:tcPr>
            <w:tcW w:type="dxa" w:w="32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Feature</w:t>
            </w:r>
          </w:p>
        </w:tc>
        <w:tc>
          <w:tcPr>
            <w:tcW w:type="dxa" w:w="1440"/>
            <w:tcBorders>
              <w:top w:val="single" w:color="1A1A2E" w:sz="1"/>
              <w:left w:val="single" w:color="1A1A2E" w:sz="1"/>
              <w:bottom w:val="single" w:color="1A1A2E" w:sz="1"/>
              <w:right w:val="single" w:color="1A1A2E" w:sz="1"/>
            </w:tcBorders>
            <w:shd w:fill="2D2D44"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Explorer</w:t>
            </w:r>
          </w:p>
          <w:p>
            <w:pPr>
              <w:jc w:val="center"/>
            </w:pPr>
            <w:r>
              <w:rPr>
                <w:rFonts w:ascii="Arial" w:cs="Arial" w:eastAsia="Arial" w:hAnsi="Arial"/>
                <w:b/>
                <w:bCs/>
                <w:color w:val="FFFFFF"/>
                <w:sz w:val="16"/>
                <w:szCs w:val="16"/>
              </w:rPr>
              <w:t xml:space="preserve">(Free)</w:t>
            </w:r>
          </w:p>
        </w:tc>
        <w:tc>
          <w:tcPr>
            <w:tcW w:type="dxa" w:w="144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Portfolio</w:t>
            </w:r>
          </w:p>
          <w:p>
            <w:pPr>
              <w:jc w:val="center"/>
            </w:pPr>
            <w:r>
              <w:rPr>
                <w:rFonts w:ascii="Arial" w:cs="Arial" w:eastAsia="Arial" w:hAnsi="Arial"/>
                <w:b/>
                <w:bCs/>
                <w:color w:val="FFFFFF"/>
                <w:sz w:val="16"/>
                <w:szCs w:val="16"/>
              </w:rPr>
              <w:t xml:space="preserve">Pro</w:t>
            </w:r>
          </w:p>
        </w:tc>
        <w:tc>
          <w:tcPr>
            <w:tcW w:type="dxa" w:w="144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Adviser</w:t>
            </w:r>
          </w:p>
          <w:p>
            <w:pPr>
              <w:jc w:val="center"/>
            </w:pPr>
            <w:r>
              <w:rPr>
                <w:rFonts w:ascii="Arial" w:cs="Arial" w:eastAsia="Arial" w:hAnsi="Arial"/>
                <w:b/>
                <w:bCs/>
                <w:color w:val="FFFFFF"/>
                <w:sz w:val="16"/>
                <w:szCs w:val="16"/>
              </w:rPr>
              <w:t xml:space="preserve">Starter</w:t>
            </w:r>
          </w:p>
        </w:tc>
        <w:tc>
          <w:tcPr>
            <w:tcW w:type="dxa" w:w="144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Adviser</w:t>
            </w:r>
          </w:p>
          <w:p>
            <w:pPr>
              <w:jc w:val="center"/>
            </w:pPr>
            <w:r>
              <w:rPr>
                <w:rFonts w:ascii="Arial" w:cs="Arial" w:eastAsia="Arial" w:hAnsi="Arial"/>
                <w:b/>
                <w:bCs/>
                <w:color w:val="FFFFFF"/>
                <w:sz w:val="16"/>
                <w:szCs w:val="16"/>
              </w:rPr>
              <w:t xml:space="preserve">Growth</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Adviser</w:t>
            </w:r>
          </w:p>
          <w:p>
            <w:pPr>
              <w:jc w:val="center"/>
            </w:pPr>
            <w:r>
              <w:rPr>
                <w:rFonts w:ascii="Arial" w:cs="Arial" w:eastAsia="Arial" w:hAnsi="Arial"/>
                <w:b/>
                <w:bCs/>
                <w:color w:val="FFFFFF"/>
                <w:sz w:val="16"/>
                <w:szCs w:val="16"/>
              </w:rPr>
              <w:t xml:space="preserve">Scale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Market heatmap (5 modes)</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DLD transaction search</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Area price history &amp; trends</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Developer project listings</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Reelly.ai project data</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WhatsApp agent connect buttons</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Portfolio tracker &amp; P&amp;L</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Title deed upload &amp; validation</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ROI &amp; yield calculator</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AI Concierge (property Q&amp;A)</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Branded subdomain</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Custom brand colour &amp; logo</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Client investor accounts</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8E6" w:val="clear"/>
            <w:tcMar>
              <w:top w:type="dxa" w:w="80"/>
              <w:left w:type="dxa" w:w="80"/>
              <w:bottom w:type="dxa" w:w="80"/>
              <w:right w:type="dxa" w:w="80"/>
            </w:tcMar>
            <w:vAlign w:val="center"/>
          </w:tcPr>
          <w:p>
            <w:pPr>
              <w:jc w:val="center"/>
            </w:pPr>
            <w:r>
              <w:rPr>
                <w:rFonts w:ascii="Arial" w:cs="Arial" w:eastAsia="Arial" w:hAnsi="Arial"/>
                <w:b w:val="false"/>
                <w:bCs w:val="false"/>
                <w:color w:val="2D2D44"/>
                <w:sz w:val="16"/>
                <w:szCs w:val="16"/>
              </w:rPr>
              <w:t xml:space="preserve">Up to 15</w:t>
            </w:r>
          </w:p>
        </w:tc>
        <w:tc>
          <w:tcPr>
            <w:tcW w:type="dxa" w:w="1440"/>
            <w:tcBorders>
              <w:top w:val="single" w:color="DDDDE8" w:sz="1"/>
              <w:left w:val="single" w:color="DDDDE8" w:sz="1"/>
              <w:bottom w:val="single" w:color="DDDDE8" w:sz="1"/>
              <w:right w:val="single" w:color="DDDDE8" w:sz="1"/>
            </w:tcBorders>
            <w:shd w:fill="FFF8E6" w:val="clear"/>
            <w:tcMar>
              <w:top w:type="dxa" w:w="80"/>
              <w:left w:type="dxa" w:w="80"/>
              <w:bottom w:type="dxa" w:w="80"/>
              <w:right w:type="dxa" w:w="80"/>
            </w:tcMar>
            <w:vAlign w:val="center"/>
          </w:tcPr>
          <w:p>
            <w:pPr>
              <w:jc w:val="center"/>
            </w:pPr>
            <w:r>
              <w:rPr>
                <w:rFonts w:ascii="Arial" w:cs="Arial" w:eastAsia="Arial" w:hAnsi="Arial"/>
                <w:b w:val="false"/>
                <w:bCs w:val="false"/>
                <w:color w:val="2D2D44"/>
                <w:sz w:val="16"/>
                <w:szCs w:val="16"/>
              </w:rPr>
              <w:t xml:space="preserve">Up to 50</w:t>
            </w:r>
          </w:p>
        </w:tc>
        <w:tc>
          <w:tcPr>
            <w:tcW w:type="dxa" w:w="1400"/>
            <w:tcBorders>
              <w:top w:val="single" w:color="DDDDE8" w:sz="1"/>
              <w:left w:val="single" w:color="DDDDE8" w:sz="1"/>
              <w:bottom w:val="single" w:color="DDDDE8" w:sz="1"/>
              <w:right w:val="single" w:color="DDDDE8" w:sz="1"/>
            </w:tcBorders>
            <w:shd w:fill="FFF8E6" w:val="clear"/>
            <w:tcMar>
              <w:top w:type="dxa" w:w="80"/>
              <w:left w:type="dxa" w:w="80"/>
              <w:bottom w:type="dxa" w:w="80"/>
              <w:right w:type="dxa" w:w="80"/>
            </w:tcMar>
            <w:vAlign w:val="center"/>
          </w:tcPr>
          <w:p>
            <w:pPr>
              <w:jc w:val="center"/>
            </w:pPr>
            <w:r>
              <w:rPr>
                <w:rFonts w:ascii="Arial" w:cs="Arial" w:eastAsia="Arial" w:hAnsi="Arial"/>
                <w:b w:val="false"/>
                <w:bCs w:val="false"/>
                <w:color w:val="2D2D44"/>
                <w:sz w:val="16"/>
                <w:szCs w:val="16"/>
              </w:rPr>
              <w:t xml:space="preserve">Unlimited</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Monthly Picks publishing</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WhatsApp share &amp; inquiry buttons</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Admin dashboard (investor mgmt)</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Custom domain (e.g. alex.com)</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Priority support</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Analytics &amp; engagement metrics</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Lead capture forms</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Multiple team members</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API access (partner tier)</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4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AAAAAA"/>
                <w:sz w:val="22"/>
                <w:szCs w:val="22"/>
              </w:rPr>
              <w:t xml:space="preserve">—</w:t>
            </w:r>
          </w:p>
        </w:tc>
        <w:tc>
          <w:tcPr>
            <w:tcW w:type="dxa" w:w="14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6. Adviser ROI — The One-Deal Argument</w:t>
      </w:r>
    </w:p>
    <w:p>
      <w:pPr>
        <w:spacing w:after="60" w:before="60"/>
      </w:pPr>
      <w:r>
        <w:rPr>
          <w:rFonts w:ascii="Arial" w:cs="Arial" w:eastAsia="Arial" w:hAnsi="Arial"/>
          <w:b w:val="false"/>
          <w:bCs w:val="false"/>
          <w:i w:val="false"/>
          <w:iCs w:val="false"/>
          <w:color w:val="1A1A2E"/>
          <w:sz w:val="20"/>
          <w:szCs w:val="20"/>
        </w:rPr>
        <w:t xml:space="preserve">The single most important sales argument for the Adviser plans is that the product pays for itself many times over from a single closed deal. Dubai's agent commission structure makes this trivially true.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Metric</w:t>
            </w:r>
          </w:p>
        </w:tc>
        <w:tc>
          <w:tcPr>
            <w:tcW w:type="dxa" w:w="318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Adviser Starter (AED 299/mo)</w:t>
            </w:r>
          </w:p>
        </w:tc>
        <w:tc>
          <w:tcPr>
            <w:tcW w:type="dxa" w:w="318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Adviser Growth (AED 599/mo)</w:t>
            </w:r>
          </w:p>
        </w:tc>
      </w:tr>
      <w:tr>
        <w:tc>
          <w:tcPr>
            <w:tcW w:type="dxa" w:w="30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Monthly Cost</w:t>
            </w:r>
          </w:p>
        </w:tc>
        <w:tc>
          <w:tcPr>
            <w:tcW w:type="dxa" w:w="31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AED 299</w:t>
            </w:r>
          </w:p>
        </w:tc>
        <w:tc>
          <w:tcPr>
            <w:tcW w:type="dxa" w:w="31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AED 599</w:t>
            </w:r>
          </w:p>
        </w:tc>
      </w:tr>
      <w:tr>
        <w:tc>
          <w:tcPr>
            <w:tcW w:type="dxa" w:w="30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Annual Cost</w:t>
            </w:r>
          </w:p>
        </w:tc>
        <w:tc>
          <w:tcPr>
            <w:tcW w:type="dxa" w:w="31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AED 3,588 (or AED 2,868 annual plan)</w:t>
            </w:r>
          </w:p>
        </w:tc>
        <w:tc>
          <w:tcPr>
            <w:tcW w:type="dxa" w:w="31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AED 7,188 (or AED 5,748 annual plan)</w:t>
            </w:r>
          </w:p>
        </w:tc>
      </w:tr>
      <w:tr>
        <w:tc>
          <w:tcPr>
            <w:tcW w:type="dxa" w:w="30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Avg. Dubai Sale Commission (2% on AED 2M)</w:t>
            </w:r>
          </w:p>
        </w:tc>
        <w:tc>
          <w:tcPr>
            <w:tcW w:type="dxa" w:w="31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AED 40,000</w:t>
            </w:r>
          </w:p>
        </w:tc>
        <w:tc>
          <w:tcPr>
            <w:tcW w:type="dxa" w:w="31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AED 40,000</w:t>
            </w:r>
          </w:p>
        </w:tc>
      </w:tr>
      <w:tr>
        <w:tc>
          <w:tcPr>
            <w:tcW w:type="dxa" w:w="30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Break-even (deals needed to cover annual cost)</w:t>
            </w:r>
          </w:p>
        </w:tc>
        <w:tc>
          <w:tcPr>
            <w:tcW w:type="dxa" w:w="318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&lt; 0.1 deals/year</w:t>
            </w:r>
          </w:p>
        </w:tc>
        <w:tc>
          <w:tcPr>
            <w:tcW w:type="dxa" w:w="318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&lt; 0.2 deals/year</w:t>
            </w:r>
          </w:p>
        </w:tc>
      </w:tr>
      <w:tr>
        <w:tc>
          <w:tcPr>
            <w:tcW w:type="dxa" w:w="30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What advisers already spend on CRM tools</w:t>
            </w:r>
          </w:p>
        </w:tc>
        <w:tc>
          <w:tcPr>
            <w:tcW w:type="dxa" w:w="31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D2D44"/>
                <w:sz w:val="20"/>
                <w:szCs w:val="20"/>
              </w:rPr>
              <w:t xml:space="preserve">AED 370–1,800/month</w:t>
            </w:r>
          </w:p>
        </w:tc>
        <w:tc>
          <w:tcPr>
            <w:tcW w:type="dxa" w:w="31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D2D44"/>
                <w:sz w:val="20"/>
                <w:szCs w:val="20"/>
              </w:rPr>
              <w:t xml:space="preserve">AED 370–1,800/month</w:t>
            </w:r>
          </w:p>
        </w:tc>
      </w:tr>
      <w:tr>
        <w:tc>
          <w:tcPr>
            <w:tcW w:type="dxa" w:w="30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RealSight as % of CRM spend</w:t>
            </w:r>
          </w:p>
        </w:tc>
        <w:tc>
          <w:tcPr>
            <w:tcW w:type="dxa" w:w="31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~17–81% cheaper</w:t>
            </w:r>
          </w:p>
        </w:tc>
        <w:tc>
          <w:tcPr>
            <w:tcW w:type="dxa" w:w="31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~33–100% of CRM — but replaces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Sales script: 'You closed one deal last month. That commission was AED 40,000. RealSight Starter costs AED 299/month. That is 0.75% of one deal. For that, you get a branded platform your clients use every day, a portfolio tracker that keeps them informed, and WhatsApp buttons that route inquiries directly to you — not to a competitor.'</w:t>
            </w:r>
          </w:p>
        </w:tc>
      </w:tr>
    </w:tbl>
    <w:p>
      <w:pPr>
        <w:spacing w:after="0" w:before="80"/>
      </w:pPr>
      <w:r>
        <w:t xml:space="preserve"/>
      </w:r>
    </w:p>
    <w:p>
      <w:pPr>
        <w:pStyle w:val="Heading2"/>
        <w:spacing w:after="120" w:before="240"/>
      </w:pPr>
      <w:r>
        <w:rPr>
          <w:rFonts w:ascii="Arial" w:cs="Arial" w:eastAsia="Arial" w:hAnsi="Arial"/>
          <w:b/>
          <w:bCs/>
          <w:color w:val="2D2D44"/>
          <w:sz w:val="26"/>
          <w:szCs w:val="26"/>
        </w:rPr>
        <w:t xml:space="preserve">6.1 Context: What Dubai Agents Already Spend</w:t>
      </w:r>
    </w:p>
    <w:p>
      <w:pPr>
        <w:spacing w:after="60" w:before="60"/>
      </w:pPr>
      <w:r>
        <w:rPr>
          <w:rFonts w:ascii="Arial" w:cs="Arial" w:eastAsia="Arial" w:hAnsi="Arial"/>
          <w:b w:val="false"/>
          <w:bCs w:val="false"/>
          <w:i w:val="false"/>
          <w:iCs w:val="false"/>
          <w:color w:val="1A1A2E"/>
          <w:sz w:val="20"/>
          <w:szCs w:val="20"/>
        </w:rPr>
        <w:t xml:space="preserve">Dubai's real estate agents are high-income professionals in a tax-free environment. They are not price-sensitive on tools that demonstrably increase their deal flow. Research shows:</w:t>
      </w:r>
    </w:p>
    <w:p>
      <w:pPr>
        <w:spacing w:after="0" w:before="60"/>
      </w:pPr>
      <w:r>
        <w:t xml:space="preserve"/>
      </w:r>
    </w:p>
    <w:p>
      <w:pPr>
        <w:pStyle w:val="ListParagraph"/>
        <w:numPr>
          <w:ilvl w:val="0"/>
          <w:numId w:val="2"/>
        </w:numPr>
        <w:spacing w:after="40" w:before="40"/>
        <w:ind w:left="720" w:hanging="360"/>
      </w:pPr>
      <w:r>
        <w:rPr>
          <w:rFonts w:ascii="Arial" w:cs="Arial" w:eastAsia="Arial" w:hAnsi="Arial"/>
          <w:color w:val="1A1A2E"/>
          <w:sz w:val="20"/>
          <w:szCs w:val="20"/>
        </w:rPr>
        <w:t xml:space="preserve">Average Dubai agent income: AED 18,000–50,000+/month, tax-free</w:t>
      </w:r>
    </w:p>
    <w:p>
      <w:pPr>
        <w:pStyle w:val="ListParagraph"/>
        <w:numPr>
          <w:ilvl w:val="0"/>
          <w:numId w:val="2"/>
        </w:numPr>
        <w:spacing w:after="40" w:before="40"/>
        <w:ind w:left="720" w:hanging="360"/>
      </w:pPr>
      <w:r>
        <w:rPr>
          <w:rFonts w:ascii="Arial" w:cs="Arial" w:eastAsia="Arial" w:hAnsi="Arial"/>
          <w:color w:val="1A1A2E"/>
          <w:sz w:val="20"/>
          <w:szCs w:val="20"/>
        </w:rPr>
        <w:t xml:space="preserve">Existing CRM tools (Salesforce, Zoho, Bitrix24): AED 370–1,800/month</w:t>
      </w:r>
    </w:p>
    <w:p>
      <w:pPr>
        <w:pStyle w:val="ListParagraph"/>
        <w:numPr>
          <w:ilvl w:val="0"/>
          <w:numId w:val="2"/>
        </w:numPr>
        <w:spacing w:after="40" w:before="40"/>
        <w:ind w:left="720" w:hanging="360"/>
      </w:pPr>
      <w:r>
        <w:rPr>
          <w:rFonts w:ascii="Arial" w:cs="Arial" w:eastAsia="Arial" w:hAnsi="Arial"/>
          <w:color w:val="1A1A2E"/>
          <w:sz w:val="20"/>
          <w:szCs w:val="20"/>
        </w:rPr>
        <w:t xml:space="preserve">Property portals (Bayut, Property Finder listing fees): AED 500–3,000+/month</w:t>
      </w:r>
    </w:p>
    <w:p>
      <w:pPr>
        <w:pStyle w:val="ListParagraph"/>
        <w:numPr>
          <w:ilvl w:val="0"/>
          <w:numId w:val="2"/>
        </w:numPr>
        <w:spacing w:after="40" w:before="40"/>
        <w:ind w:left="720" w:hanging="360"/>
      </w:pPr>
      <w:r>
        <w:rPr>
          <w:rFonts w:ascii="Arial" w:cs="Arial" w:eastAsia="Arial" w:hAnsi="Arial"/>
          <w:color w:val="1A1A2E"/>
          <w:sz w:val="20"/>
          <w:szCs w:val="20"/>
        </w:rPr>
        <w:t xml:space="preserve">WhatsApp Business API providers (WATI, 360dialog): AED 200–800/month</w:t>
      </w:r>
    </w:p>
    <w:p>
      <w:pPr>
        <w:spacing w:after="0" w:before="60"/>
      </w:pPr>
      <w:r>
        <w:t xml:space="preserve"/>
      </w:r>
    </w:p>
    <w:p>
      <w:pPr>
        <w:spacing w:after="60" w:before="60"/>
      </w:pPr>
      <w:r>
        <w:rPr>
          <w:rFonts w:ascii="Arial" w:cs="Arial" w:eastAsia="Arial" w:hAnsi="Arial"/>
          <w:b w:val="false"/>
          <w:bCs w:val="false"/>
          <w:i w:val="false"/>
          <w:iCs w:val="false"/>
          <w:color w:val="1A1A2E"/>
          <w:sz w:val="20"/>
          <w:szCs w:val="20"/>
        </w:rPr>
        <w:t xml:space="preserve">RealSight at AED 299–999/month sits comfortably within the existing technology spend of any professional agent and replaces or consolidates several of the above categories.</w:t>
      </w:r>
    </w:p>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7. Investor Conversion Funnel</w:t>
      </w:r>
    </w:p>
    <w:p>
      <w:pPr>
        <w:spacing w:after="60" w:before="60"/>
      </w:pPr>
      <w:r>
        <w:rPr>
          <w:rFonts w:ascii="Arial" w:cs="Arial" w:eastAsia="Arial" w:hAnsi="Arial"/>
          <w:b w:val="false"/>
          <w:bCs w:val="false"/>
          <w:i w:val="false"/>
          <w:iCs w:val="false"/>
          <w:color w:val="1A1A2E"/>
          <w:sz w:val="20"/>
          <w:szCs w:val="20"/>
        </w:rPr>
        <w:t xml:space="preserve">Investors enter through the free Explorer tier, attracted by the same research tools that DXBinteract offers — but with a better interface and real portfolio context. The Portfolio Pro upgrade is triggered by a natural user action: trying to add a property.</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7.1 Funnel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520"/>
        <w:gridCol w:w="2520"/>
      </w:tblGrid>
      <w:tr>
        <w:trPr>
          <w:tblHeader/>
        </w:trPr>
        <w:tc>
          <w:tcPr>
            <w:tcW w:type="dxa" w:w="144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Stage</w:t>
            </w:r>
          </w:p>
        </w:tc>
        <w:tc>
          <w:tcPr>
            <w:tcW w:type="dxa" w:w="288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Action</w:t>
            </w:r>
          </w:p>
        </w:tc>
        <w:tc>
          <w:tcPr>
            <w:tcW w:type="dxa" w:w="252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RealSight Hook</w:t>
            </w:r>
          </w:p>
        </w:tc>
        <w:tc>
          <w:tcPr>
            <w:tcW w:type="dxa" w:w="252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Conversion Point</w:t>
            </w:r>
          </w:p>
        </w:tc>
      </w:tr>
      <w:tr>
        <w:tc>
          <w:tcPr>
            <w:tcW w:type="dxa" w:w="14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1</w:t>
            </w:r>
          </w:p>
        </w:tc>
        <w:tc>
          <w:tcPr>
            <w:tcW w:type="dxa" w:w="28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Searches for Dubai area price trends</w:t>
            </w:r>
          </w:p>
        </w:tc>
        <w:tc>
          <w:tcPr>
            <w:tcW w:type="dxa" w:w="25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Heatmap + area price history (free)</w:t>
            </w:r>
          </w:p>
        </w:tc>
        <w:tc>
          <w:tcPr>
            <w:tcW w:type="dxa" w:w="25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AAAAAA"/>
                <w:sz w:val="20"/>
                <w:szCs w:val="20"/>
              </w:rPr>
              <w:t xml:space="preserve">—</w:t>
            </w:r>
          </w:p>
        </w:tc>
      </w:tr>
      <w:tr>
        <w:tc>
          <w:tcPr>
            <w:tcW w:type="dxa" w:w="14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2</w:t>
            </w:r>
          </w:p>
        </w:tc>
        <w:tc>
          <w:tcPr>
            <w:tcW w:type="dxa" w:w="28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Browses project listings, checks developer launches</w:t>
            </w:r>
          </w:p>
        </w:tc>
        <w:tc>
          <w:tcPr>
            <w:tcW w:type="dxa" w:w="25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Reelly.ai project cards with ROI indicators (free)</w:t>
            </w:r>
          </w:p>
        </w:tc>
        <w:tc>
          <w:tcPr>
            <w:tcW w:type="dxa" w:w="25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AAAAAA"/>
                <w:sz w:val="20"/>
                <w:szCs w:val="20"/>
              </w:rPr>
              <w:t xml:space="preserve">—</w:t>
            </w:r>
          </w:p>
        </w:tc>
      </w:tr>
      <w:tr>
        <w:tc>
          <w:tcPr>
            <w:tcW w:type="dxa" w:w="14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3</w:t>
            </w:r>
          </w:p>
        </w:tc>
        <w:tc>
          <w:tcPr>
            <w:tcW w:type="dxa" w:w="288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Clicks 'Add Property to Portfolio'</w:t>
            </w:r>
          </w:p>
        </w:tc>
        <w:tc>
          <w:tcPr>
            <w:tcW w:type="dxa" w:w="252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'Upgrade to Portfolio Pro to track your holdings'</w:t>
            </w:r>
          </w:p>
        </w:tc>
        <w:tc>
          <w:tcPr>
            <w:tcW w:type="dxa" w:w="252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Portfolio Pro AED 99/mo</w:t>
            </w:r>
          </w:p>
        </w:tc>
      </w:tr>
      <w:tr>
        <w:tc>
          <w:tcPr>
            <w:tcW w:type="dxa" w:w="14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4</w:t>
            </w:r>
          </w:p>
        </w:tc>
        <w:tc>
          <w:tcPr>
            <w:tcW w:type="dxa" w:w="28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Adviser shares their branded platform link</w:t>
            </w:r>
          </w:p>
        </w:tc>
        <w:tc>
          <w:tcPr>
            <w:tcW w:type="dxa" w:w="25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Investor signs up under adviser's tenant — auto-assigned</w:t>
            </w:r>
          </w:p>
        </w:tc>
        <w:tc>
          <w:tcPr>
            <w:tcW w:type="dxa" w:w="25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Drives Adviser plan adoption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Advisers who use RealSight acquire investors for free — their clients sign up directly through the adviser's branded subdomain. This creates a viral loop: each Adviser subscriber brings multiple investor users, who may later upgrade to Portfolio Pro independently.</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8. Competitive Positioning</w:t>
      </w:r>
    </w:p>
    <w:p>
      <w:pPr>
        <w:spacing w:after="60" w:before="60"/>
      </w:pPr>
      <w:r>
        <w:rPr>
          <w:rFonts w:ascii="Arial" w:cs="Arial" w:eastAsia="Arial" w:hAnsi="Arial"/>
          <w:b w:val="false"/>
          <w:bCs w:val="false"/>
          <w:i w:val="false"/>
          <w:iCs w:val="false"/>
          <w:color w:val="1A1A2E"/>
          <w:sz w:val="20"/>
          <w:szCs w:val="20"/>
        </w:rPr>
        <w:t xml:space="preserve">RealSight's position in the market can be summarised in a single line: 'The only Dubai real estate platform built for advisers and their clients — free for research, paid for ownership.'</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8.1 Why This Beats DXBinteract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Dimension</w:t>
            </w:r>
          </w:p>
        </w:tc>
        <w:tc>
          <w:tcPr>
            <w:tcW w:type="dxa" w:w="328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DXBinteract</w:t>
            </w:r>
          </w:p>
        </w:tc>
        <w:tc>
          <w:tcPr>
            <w:tcW w:type="dxa" w:w="328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RealSight</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Price for research</w:t>
            </w:r>
          </w:p>
        </w:tc>
        <w:tc>
          <w:tcPr>
            <w:tcW w:type="dxa" w:w="32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18"/>
                <w:szCs w:val="18"/>
              </w:rPr>
              <w:t xml:space="preserve">Free</w:t>
            </w:r>
          </w:p>
        </w:tc>
        <w:tc>
          <w:tcPr>
            <w:tcW w:type="dxa" w:w="32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18"/>
                <w:szCs w:val="18"/>
              </w:rPr>
              <w:t xml:space="preserve">Free — identical</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Adviser branding</w:t>
            </w:r>
          </w:p>
        </w:tc>
        <w:tc>
          <w:tcPr>
            <w:tcW w:type="dxa" w:w="32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18"/>
                <w:szCs w:val="18"/>
              </w:rPr>
              <w:t xml:space="preserve">None — routes to FAM agents</w:t>
            </w:r>
          </w:p>
        </w:tc>
        <w:tc>
          <w:tcPr>
            <w:tcW w:type="dxa" w:w="3280"/>
            <w:gridSpan w:val="1"/>
            <w:tcBorders>
              <w:top w:val="single" w:color="DDDDE8" w:sz="1"/>
              <w:left w:val="single" w:color="DDDDE8" w:sz="1"/>
              <w:bottom w:val="single" w:color="DDDDE8" w:sz="1"/>
              <w:right w:val="single" w:color="DDDDE8" w:sz="1"/>
            </w:tcBorders>
            <w:shd w:fill="F0FAF4"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18"/>
                <w:szCs w:val="18"/>
              </w:rPr>
              <w:t xml:space="preserve">Full white-label subdomain + logo + colours</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Investor portal</w:t>
            </w:r>
          </w:p>
        </w:tc>
        <w:tc>
          <w:tcPr>
            <w:tcW w:type="dxa" w:w="32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18"/>
                <w:szCs w:val="18"/>
              </w:rPr>
              <w:t xml:space="preserve">None</w:t>
            </w:r>
          </w:p>
        </w:tc>
        <w:tc>
          <w:tcPr>
            <w:tcW w:type="dxa" w:w="32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18"/>
                <w:szCs w:val="18"/>
              </w:rPr>
              <w:t xml:space="preserve">Dedicated client login under adviser brand</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Portfolio tracking</w:t>
            </w:r>
          </w:p>
        </w:tc>
        <w:tc>
          <w:tcPr>
            <w:tcW w:type="dxa" w:w="32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18"/>
                <w:szCs w:val="18"/>
              </w:rPr>
              <w:t xml:space="preserve">None</w:t>
            </w:r>
          </w:p>
        </w:tc>
        <w:tc>
          <w:tcPr>
            <w:tcW w:type="dxa" w:w="3280"/>
            <w:gridSpan w:val="1"/>
            <w:tcBorders>
              <w:top w:val="single" w:color="DDDDE8" w:sz="1"/>
              <w:left w:val="single" w:color="DDDDE8" w:sz="1"/>
              <w:bottom w:val="single" w:color="DDDDE8" w:sz="1"/>
              <w:right w:val="single" w:color="DDDDE8" w:sz="1"/>
            </w:tcBorders>
            <w:shd w:fill="F0FAF4"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18"/>
                <w:szCs w:val="18"/>
              </w:rPr>
              <w:t xml:space="preserve">Title deed upload, live P&amp;L, ROI, AI Concierge</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WhatsApp</w:t>
            </w:r>
          </w:p>
        </w:tc>
        <w:tc>
          <w:tcPr>
            <w:tcW w:type="dxa" w:w="32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18"/>
                <w:szCs w:val="18"/>
              </w:rPr>
              <w:t xml:space="preserve">Links to DXBinteract's own agents</w:t>
            </w:r>
          </w:p>
        </w:tc>
        <w:tc>
          <w:tcPr>
            <w:tcW w:type="dxa" w:w="32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18"/>
                <w:szCs w:val="18"/>
              </w:rPr>
              <w:t xml:space="preserve">Links to the adviser's own number</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Monthly Picks</w:t>
            </w:r>
          </w:p>
        </w:tc>
        <w:tc>
          <w:tcPr>
            <w:tcW w:type="dxa" w:w="32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18"/>
                <w:szCs w:val="18"/>
              </w:rPr>
              <w:t xml:space="preserve">Generic listings</w:t>
            </w:r>
          </w:p>
        </w:tc>
        <w:tc>
          <w:tcPr>
            <w:tcW w:type="dxa" w:w="3280"/>
            <w:gridSpan w:val="1"/>
            <w:tcBorders>
              <w:top w:val="single" w:color="DDDDE8" w:sz="1"/>
              <w:left w:val="single" w:color="DDDDE8" w:sz="1"/>
              <w:bottom w:val="single" w:color="DDDDE8" w:sz="1"/>
              <w:right w:val="single" w:color="DDDDE8" w:sz="1"/>
            </w:tcBorders>
            <w:shd w:fill="F0FAF4"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18"/>
                <w:szCs w:val="18"/>
              </w:rPr>
              <w:t xml:space="preserve">Adviser-curated, branded investment picks</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International markets</w:t>
            </w:r>
          </w:p>
        </w:tc>
        <w:tc>
          <w:tcPr>
            <w:tcW w:type="dxa" w:w="32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18"/>
                <w:szCs w:val="18"/>
              </w:rPr>
              <w:t xml:space="preserve">Dubai only</w:t>
            </w:r>
          </w:p>
        </w:tc>
        <w:tc>
          <w:tcPr>
            <w:tcW w:type="dxa" w:w="32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18"/>
                <w:szCs w:val="18"/>
              </w:rPr>
              <w:t xml:space="preserve">US, UK, Singapore, Spain (roadmap)</w:t>
            </w:r>
          </w:p>
        </w:tc>
      </w:tr>
      <w:tr>
        <w:tc>
          <w:tcPr>
            <w:tcW w:type="dxa" w:w="28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AI layer</w:t>
            </w:r>
          </w:p>
        </w:tc>
        <w:tc>
          <w:tcPr>
            <w:tcW w:type="dxa" w:w="32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18"/>
                <w:szCs w:val="18"/>
              </w:rPr>
              <w:t xml:space="preserve">None</w:t>
            </w:r>
          </w:p>
        </w:tc>
        <w:tc>
          <w:tcPr>
            <w:tcW w:type="dxa" w:w="3280"/>
            <w:gridSpan w:val="1"/>
            <w:tcBorders>
              <w:top w:val="single" w:color="DDDDE8" w:sz="1"/>
              <w:left w:val="single" w:color="DDDDE8" w:sz="1"/>
              <w:bottom w:val="single" w:color="DDDDE8" w:sz="1"/>
              <w:right w:val="single" w:color="DDDDE8" w:sz="1"/>
            </w:tcBorders>
            <w:shd w:fill="F0FAF4"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18"/>
                <w:szCs w:val="18"/>
              </w:rPr>
              <w:t xml:space="preserve">AI Concierge with custom persona per adviser</w:t>
            </w:r>
          </w:p>
        </w:tc>
      </w:tr>
      <w:tr>
        <w:tc>
          <w:tcPr>
            <w:tcW w:type="dxa" w:w="2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Data source</w:t>
            </w:r>
          </w:p>
        </w:tc>
        <w:tc>
          <w:tcPr>
            <w:tcW w:type="dxa" w:w="32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18"/>
                <w:szCs w:val="18"/>
              </w:rPr>
              <w:t xml:space="preserve">DLD only</w:t>
            </w:r>
          </w:p>
        </w:tc>
        <w:tc>
          <w:tcPr>
            <w:tcW w:type="dxa" w:w="32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18"/>
                <w:szCs w:val="18"/>
              </w:rPr>
              <w:t xml:space="preserve">DLD + Reelly.ai (1,350+ projects, 60,000+ agents)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The messaging to advisers: 'DXBinteract uses you to generate leads for FAM Properties. RealSight makes you the platform. Your brand. Your clients. Your commission.'</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9. Revenue Projections</w:t>
      </w:r>
    </w:p>
    <w:p>
      <w:pPr>
        <w:spacing w:after="60" w:before="60"/>
      </w:pPr>
      <w:r>
        <w:rPr>
          <w:rFonts w:ascii="Arial" w:cs="Arial" w:eastAsia="Arial" w:hAnsi="Arial"/>
          <w:b w:val="false"/>
          <w:bCs w:val="false"/>
          <w:i w:val="false"/>
          <w:iCs w:val="false"/>
          <w:color w:val="1A1A2E"/>
          <w:sz w:val="20"/>
          <w:szCs w:val="20"/>
        </w:rPr>
        <w:t xml:space="preserve">Assumptions: average Adviser plan blended at AED 500/month (mix of Starter/Growth/Scale). Portfolio Pro at AED 99/month. Realistic conversion from Dubai's 60,000+ active DLD-registered agents and growing investor 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Scenario</w:t>
            </w:r>
          </w:p>
        </w:tc>
        <w:tc>
          <w:tcPr>
            <w:tcW w:type="dxa" w:w="169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Month 3</w:t>
            </w:r>
          </w:p>
        </w:tc>
        <w:tc>
          <w:tcPr>
            <w:tcW w:type="dxa" w:w="169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Month 6</w:t>
            </w:r>
          </w:p>
        </w:tc>
        <w:tc>
          <w:tcPr>
            <w:tcW w:type="dxa" w:w="169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Month 9</w:t>
            </w:r>
          </w:p>
        </w:tc>
        <w:tc>
          <w:tcPr>
            <w:tcW w:type="dxa" w:w="169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Month 12</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Conservative</w:t>
            </w:r>
          </w:p>
        </w:tc>
        <w:tc>
          <w:tcPr>
            <w:tcW w:type="dxa" w:w="169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AED 5,970</w:t>
            </w:r>
          </w:p>
        </w:tc>
        <w:tc>
          <w:tcPr>
            <w:tcW w:type="dxa" w:w="169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AED 14,940</w:t>
            </w:r>
          </w:p>
        </w:tc>
        <w:tc>
          <w:tcPr>
            <w:tcW w:type="dxa" w:w="169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AED 26,895</w:t>
            </w:r>
          </w:p>
        </w:tc>
        <w:tc>
          <w:tcPr>
            <w:tcW w:type="dxa" w:w="169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AED 41,835</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7"/>
                <w:szCs w:val="17"/>
              </w:rPr>
              <w:t xml:space="preserve">  10 Adviser Starter + 5 Portfolio Pro</w:t>
            </w:r>
          </w:p>
        </w:tc>
        <w:tc>
          <w:tcPr>
            <w:tcW w:type="dxa" w:w="169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169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6"/>
                <w:szCs w:val="16"/>
              </w:rPr>
              <w:t xml:space="preserve">25 Advisers + 10 Pro</w:t>
            </w:r>
          </w:p>
        </w:tc>
        <w:tc>
          <w:tcPr>
            <w:tcW w:type="dxa" w:w="169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6"/>
                <w:szCs w:val="16"/>
              </w:rPr>
              <w:t xml:space="preserve">45 Adv + 15 Pro</w:t>
            </w:r>
          </w:p>
        </w:tc>
        <w:tc>
          <w:tcPr>
            <w:tcW w:type="dxa" w:w="169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6"/>
                <w:szCs w:val="16"/>
              </w:rPr>
              <w:t xml:space="preserve">70 Adv + 20 Pro</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Realistic</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AED 14,940</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AED 44,820</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AED 89,640</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AED 149,400</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7"/>
                <w:szCs w:val="17"/>
              </w:rPr>
              <w:t xml:space="preserve">  25 Advisers (mixed) + 20 Portfolio Pro</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6"/>
                <w:szCs w:val="16"/>
              </w:rPr>
              <w:t xml:space="preserve">75 Adv + 50 Pro</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6"/>
                <w:szCs w:val="16"/>
              </w:rPr>
              <w:t xml:space="preserve">150 Adv + 100 Pro</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6"/>
                <w:szCs w:val="16"/>
              </w:rPr>
              <w:t xml:space="preserve">250 Adv + 150 Pro</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Aggressive</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AED 44,820</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AED 134,460</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AED 298,800</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AED 597,600</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7"/>
                <w:szCs w:val="17"/>
              </w:rPr>
              <w:t xml:space="preserve">  75 Advisers (mixed) + 50 Portfolio Pro</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6"/>
                <w:szCs w:val="16"/>
              </w:rPr>
              <w:t xml:space="preserve">225 Adv + 150 Pro</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6"/>
                <w:szCs w:val="16"/>
              </w:rPr>
              <w:t xml:space="preserve">500 Adv + 200 Pro</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6"/>
                <w:szCs w:val="16"/>
              </w:rPr>
              <w:t xml:space="preserve">1000 Adv + 300 Pro</w:t>
            </w:r>
          </w:p>
        </w:tc>
      </w:tr>
    </w:tbl>
    <w:p>
      <w:pPr>
        <w:spacing w:after="0" w:before="80"/>
      </w:pPr>
      <w:r>
        <w:t xml:space="preserve"/>
      </w:r>
    </w:p>
    <w:p>
      <w:pPr>
        <w:pStyle w:val="Heading2"/>
        <w:spacing w:after="120" w:before="240"/>
      </w:pPr>
      <w:r>
        <w:rPr>
          <w:rFonts w:ascii="Arial" w:cs="Arial" w:eastAsia="Arial" w:hAnsi="Arial"/>
          <w:b/>
          <w:bCs/>
          <w:color w:val="2D2D44"/>
          <w:sz w:val="26"/>
          <w:szCs w:val="26"/>
        </w:rPr>
        <w:t xml:space="preserve">9.1 Key Milestones</w:t>
      </w:r>
    </w:p>
    <w:p>
      <w:pPr>
        <w:pStyle w:val="ListParagraph"/>
        <w:numPr>
          <w:ilvl w:val="0"/>
          <w:numId w:val="2"/>
        </w:numPr>
        <w:spacing w:after="40" w:before="40"/>
        <w:ind w:left="720" w:hanging="360"/>
      </w:pPr>
      <w:r>
        <w:rPr>
          <w:rFonts w:ascii="Arial" w:cs="Arial" w:eastAsia="Arial" w:hAnsi="Arial"/>
          <w:color w:val="1A1A2E"/>
          <w:sz w:val="20"/>
          <w:szCs w:val="20"/>
        </w:rPr>
        <w:t xml:space="preserve">AED 5,000 MRR → 10 Adviser Starter subscribers → achievable within first month of launch</w:t>
      </w:r>
    </w:p>
    <w:p>
      <w:pPr>
        <w:pStyle w:val="ListParagraph"/>
        <w:numPr>
          <w:ilvl w:val="0"/>
          <w:numId w:val="2"/>
        </w:numPr>
        <w:spacing w:after="40" w:before="40"/>
        <w:ind w:left="720" w:hanging="360"/>
      </w:pPr>
      <w:r>
        <w:rPr>
          <w:rFonts w:ascii="Arial" w:cs="Arial" w:eastAsia="Arial" w:hAnsi="Arial"/>
          <w:color w:val="1A1A2E"/>
          <w:sz w:val="20"/>
          <w:szCs w:val="20"/>
        </w:rPr>
        <w:t xml:space="preserve">AED 30,000 MRR → 60 adviser + 30 investor subscribers → 6 months with consistent outreach</w:t>
      </w:r>
    </w:p>
    <w:p>
      <w:pPr>
        <w:pStyle w:val="ListParagraph"/>
        <w:numPr>
          <w:ilvl w:val="0"/>
          <w:numId w:val="2"/>
        </w:numPr>
        <w:spacing w:after="40" w:before="40"/>
        <w:ind w:left="720" w:hanging="360"/>
      </w:pPr>
      <w:r>
        <w:rPr>
          <w:rFonts w:ascii="Arial" w:cs="Arial" w:eastAsia="Arial" w:hAnsi="Arial"/>
          <w:color w:val="1A1A2E"/>
          <w:sz w:val="20"/>
          <w:szCs w:val="20"/>
        </w:rPr>
        <w:t xml:space="preserve">AED 100,000 MRR → ~200 adviser + 100 investor subscribers → 'ramen profitability' for a lean team</w:t>
      </w:r>
    </w:p>
    <w:p>
      <w:pPr>
        <w:pStyle w:val="ListParagraph"/>
        <w:numPr>
          <w:ilvl w:val="0"/>
          <w:numId w:val="2"/>
        </w:numPr>
        <w:spacing w:after="40" w:before="40"/>
        <w:ind w:left="720" w:hanging="360"/>
      </w:pPr>
      <w:r>
        <w:rPr>
          <w:rFonts w:ascii="Arial" w:cs="Arial" w:eastAsia="Arial" w:hAnsi="Arial"/>
          <w:color w:val="1A1A2E"/>
          <w:sz w:val="20"/>
          <w:szCs w:val="20"/>
        </w:rPr>
        <w:t xml:space="preserve">AED 500,000+ MRR → ~1,000 Advisers → less than 1.7% of Dubai's 60,000+ registered agents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Even capturing 0.5% of Dubai's registered agents at AED 299/month = AED 90,000 MRR. The market size is not the constraint — awareness and onboarding friction are.</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10. Go-to-Market Pricing Rollout</w:t>
      </w:r>
    </w:p>
    <w:p>
      <w:pPr>
        <w:spacing w:after="60" w:before="60"/>
      </w:pPr>
      <w:r>
        <w:rPr>
          <w:rFonts w:ascii="Arial" w:cs="Arial" w:eastAsia="Arial" w:hAnsi="Arial"/>
          <w:b w:val="false"/>
          <w:bCs w:val="false"/>
          <w:i w:val="false"/>
          <w:iCs w:val="false"/>
          <w:color w:val="1A1A2E"/>
          <w:sz w:val="20"/>
          <w:szCs w:val="20"/>
        </w:rPr>
        <w:t xml:space="preserve">The pricing launch should be sequenced to maximise early adoption and word-of-mouth. Use the first two months to build a base of power users who become advocates.</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10.1 Launch Month — Founding Adviser Offer</w:t>
      </w:r>
    </w:p>
    <w:p>
      <w:pPr>
        <w:spacing w:after="60" w:before="60"/>
      </w:pPr>
      <w:r>
        <w:rPr>
          <w:rFonts w:ascii="Arial" w:cs="Arial" w:eastAsia="Arial" w:hAnsi="Arial"/>
          <w:b w:val="false"/>
          <w:bCs w:val="false"/>
          <w:i w:val="false"/>
          <w:iCs w:val="false"/>
          <w:color w:val="1A1A2E"/>
          <w:sz w:val="20"/>
          <w:szCs w:val="20"/>
        </w:rPr>
        <w:t xml:space="preserve">For the first 30 days post-launch, offer a 'Founding Adviser' promotion:</w:t>
      </w:r>
    </w:p>
    <w:p>
      <w:pPr>
        <w:pStyle w:val="ListParagraph"/>
        <w:numPr>
          <w:ilvl w:val="0"/>
          <w:numId w:val="2"/>
        </w:numPr>
        <w:spacing w:after="40" w:before="40"/>
        <w:ind w:left="720" w:hanging="360"/>
      </w:pPr>
      <w:r>
        <w:rPr>
          <w:rFonts w:ascii="Arial" w:cs="Arial" w:eastAsia="Arial" w:hAnsi="Arial"/>
          <w:color w:val="1A1A2E"/>
          <w:sz w:val="20"/>
          <w:szCs w:val="20"/>
        </w:rPr>
        <w:t xml:space="preserve">Adviser Starter: AED 199/month (locked for life) for the first 50 sign-ups</w:t>
      </w:r>
    </w:p>
    <w:p>
      <w:pPr>
        <w:pStyle w:val="ListParagraph"/>
        <w:numPr>
          <w:ilvl w:val="0"/>
          <w:numId w:val="2"/>
        </w:numPr>
        <w:spacing w:after="40" w:before="40"/>
        <w:ind w:left="720" w:hanging="360"/>
      </w:pPr>
      <w:r>
        <w:rPr>
          <w:rFonts w:ascii="Arial" w:cs="Arial" w:eastAsia="Arial" w:hAnsi="Arial"/>
          <w:color w:val="1A1A2E"/>
          <w:sz w:val="20"/>
          <w:szCs w:val="20"/>
        </w:rPr>
        <w:t xml:space="preserve">Adviser Growth: AED 399/month (locked for life) for the first 20 sign-ups</w:t>
      </w:r>
    </w:p>
    <w:p>
      <w:pPr>
        <w:pStyle w:val="ListParagraph"/>
        <w:numPr>
          <w:ilvl w:val="0"/>
          <w:numId w:val="2"/>
        </w:numPr>
        <w:spacing w:after="40" w:before="40"/>
        <w:ind w:left="720" w:hanging="360"/>
      </w:pPr>
      <w:r>
        <w:rPr>
          <w:rFonts w:ascii="Arial" w:cs="Arial" w:eastAsia="Arial" w:hAnsi="Arial"/>
          <w:color w:val="1A1A2E"/>
          <w:sz w:val="20"/>
          <w:szCs w:val="20"/>
        </w:rPr>
        <w:t xml:space="preserve">No annual commitment required during founding period</w:t>
      </w:r>
    </w:p>
    <w:p>
      <w:pPr>
        <w:spacing w:after="0" w:before="60"/>
      </w:pPr>
      <w:r>
        <w:t xml:space="preserve"/>
      </w:r>
    </w:p>
    <w:p>
      <w:pPr>
        <w:spacing w:after="60" w:before="60"/>
      </w:pPr>
      <w:r>
        <w:rPr>
          <w:rFonts w:ascii="Arial" w:cs="Arial" w:eastAsia="Arial" w:hAnsi="Arial"/>
          <w:b w:val="false"/>
          <w:bCs w:val="false"/>
          <w:i w:val="false"/>
          <w:iCs w:val="false"/>
          <w:color w:val="1A1A2E"/>
          <w:sz w:val="20"/>
          <w:szCs w:val="20"/>
        </w:rPr>
        <w:t xml:space="preserve">This creates urgency, rewards early adopters, and generates a cohort of engaged users who will provide feedback and referrals.</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10.2 Month 2–3 — Full Pricing</w:t>
      </w:r>
    </w:p>
    <w:p>
      <w:pPr>
        <w:spacing w:after="60" w:before="60"/>
      </w:pPr>
      <w:r>
        <w:rPr>
          <w:rFonts w:ascii="Arial" w:cs="Arial" w:eastAsia="Arial" w:hAnsi="Arial"/>
          <w:b w:val="false"/>
          <w:bCs w:val="false"/>
          <w:i w:val="false"/>
          <w:iCs w:val="false"/>
          <w:color w:val="1A1A2E"/>
          <w:sz w:val="20"/>
          <w:szCs w:val="20"/>
        </w:rPr>
        <w:t xml:space="preserve">Standard pricing goes live. Annual billing promoted prominently. Portfolio Pro introduced with a 14-day free trial. Referral programme: Adviser earns 1 free month for each new Adviser they refer who subscribes for 3+ months.</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10.3 Conversion from DXBinteract Users</w:t>
      </w:r>
    </w:p>
    <w:p>
      <w:pPr>
        <w:spacing w:after="60" w:before="60"/>
      </w:pPr>
      <w:r>
        <w:rPr>
          <w:rFonts w:ascii="Arial" w:cs="Arial" w:eastAsia="Arial" w:hAnsi="Arial"/>
          <w:b w:val="false"/>
          <w:bCs w:val="false"/>
          <w:i w:val="false"/>
          <w:iCs w:val="false"/>
          <w:color w:val="1A1A2E"/>
          <w:sz w:val="20"/>
          <w:szCs w:val="20"/>
        </w:rPr>
        <w:t xml:space="preserve">The strategy to attract DXBinteract's user base relies on zero-friction switching:</w:t>
      </w:r>
    </w:p>
    <w:p>
      <w:pPr>
        <w:pStyle w:val="ListParagraph"/>
        <w:numPr>
          <w:ilvl w:val="0"/>
          <w:numId w:val="2"/>
        </w:numPr>
        <w:spacing w:after="40" w:before="40"/>
        <w:ind w:left="720" w:hanging="360"/>
      </w:pPr>
      <w:r>
        <w:rPr>
          <w:rFonts w:ascii="Arial" w:cs="Arial" w:eastAsia="Arial" w:hAnsi="Arial"/>
          <w:color w:val="1A1A2E"/>
          <w:sz w:val="20"/>
          <w:szCs w:val="20"/>
        </w:rPr>
        <w:t xml:space="preserve">No data import required — DLD data is the same source</w:t>
      </w:r>
    </w:p>
    <w:p>
      <w:pPr>
        <w:pStyle w:val="ListParagraph"/>
        <w:numPr>
          <w:ilvl w:val="0"/>
          <w:numId w:val="2"/>
        </w:numPr>
        <w:spacing w:after="40" w:before="40"/>
        <w:ind w:left="720" w:hanging="360"/>
      </w:pPr>
      <w:r>
        <w:rPr>
          <w:rFonts w:ascii="Arial" w:cs="Arial" w:eastAsia="Arial" w:hAnsi="Arial"/>
          <w:color w:val="1A1A2E"/>
          <w:sz w:val="20"/>
          <w:szCs w:val="20"/>
        </w:rPr>
        <w:t xml:space="preserve">WhatsApp 'Contact Agent' links work the same way — advisers just connect their own number</w:t>
      </w:r>
    </w:p>
    <w:p>
      <w:pPr>
        <w:pStyle w:val="ListParagraph"/>
        <w:numPr>
          <w:ilvl w:val="0"/>
          <w:numId w:val="2"/>
        </w:numPr>
        <w:spacing w:after="40" w:before="40"/>
        <w:ind w:left="720" w:hanging="360"/>
      </w:pPr>
      <w:r>
        <w:rPr>
          <w:rFonts w:ascii="Arial" w:cs="Arial" w:eastAsia="Arial" w:hAnsi="Arial"/>
          <w:color w:val="1A1A2E"/>
          <w:sz w:val="20"/>
          <w:szCs w:val="20"/>
        </w:rPr>
        <w:t xml:space="preserve">Free tier matches DXBinteract feature-for-feature — no reason not to try RealSight</w:t>
      </w:r>
    </w:p>
    <w:p>
      <w:pPr>
        <w:pStyle w:val="ListParagraph"/>
        <w:numPr>
          <w:ilvl w:val="0"/>
          <w:numId w:val="2"/>
        </w:numPr>
        <w:spacing w:after="40" w:before="40"/>
        <w:ind w:left="720" w:hanging="360"/>
      </w:pPr>
      <w:r>
        <w:rPr>
          <w:rFonts w:ascii="Arial" w:cs="Arial" w:eastAsia="Arial" w:hAnsi="Arial"/>
          <w:color w:val="1A1A2E"/>
          <w:sz w:val="20"/>
          <w:szCs w:val="20"/>
        </w:rPr>
        <w:t xml:space="preserve">Targeted outreach to Dubai agents via LinkedIn, Instagram, and property expo circuits</w:t>
      </w:r>
    </w:p>
    <w:p>
      <w:pPr>
        <w:pStyle w:val="ListParagraph"/>
        <w:numPr>
          <w:ilvl w:val="0"/>
          <w:numId w:val="2"/>
        </w:numPr>
        <w:spacing w:after="40" w:before="40"/>
        <w:ind w:left="720" w:hanging="360"/>
      </w:pPr>
      <w:r>
        <w:rPr>
          <w:rFonts w:ascii="Arial" w:cs="Arial" w:eastAsia="Arial" w:hAnsi="Arial"/>
          <w:color w:val="1A1A2E"/>
          <w:sz w:val="20"/>
          <w:szCs w:val="20"/>
        </w:rPr>
        <w:t xml:space="preserve">Content marketing: 'RealSight vs DXBinteract' comparison articles and YouTube walkthroughs</w:t>
      </w:r>
    </w:p>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11. Technical Implementation Notes</w:t>
      </w:r>
    </w:p>
    <w:p>
      <w:pPr>
        <w:spacing w:after="60" w:before="60"/>
      </w:pPr>
      <w:r>
        <w:rPr>
          <w:rFonts w:ascii="Arial" w:cs="Arial" w:eastAsia="Arial" w:hAnsi="Arial"/>
          <w:b w:val="false"/>
          <w:bCs w:val="false"/>
          <w:i w:val="false"/>
          <w:iCs w:val="false"/>
          <w:color w:val="1A1A2E"/>
          <w:sz w:val="20"/>
          <w:szCs w:val="20"/>
        </w:rPr>
        <w:t xml:space="preserve">The pricing model maps cleanly to the existing Supabase schema and planned Stripe integration. Below are the key implementation points for the engineering sprint.</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11.1 Subscription Tiers in Supabase</w:t>
      </w:r>
    </w:p>
    <w:p>
      <w:pPr>
        <w:spacing w:after="60" w:before="60"/>
      </w:pPr>
      <w:r>
        <w:rPr>
          <w:rFonts w:ascii="Arial" w:cs="Arial" w:eastAsia="Arial" w:hAnsi="Arial"/>
          <w:b w:val="false"/>
          <w:bCs w:val="false"/>
          <w:i w:val="false"/>
          <w:iCs w:val="false"/>
          <w:color w:val="1A1A2E"/>
          <w:sz w:val="20"/>
          <w:szCs w:val="20"/>
        </w:rPr>
        <w:t xml:space="preserve">The tenants table already contains a subscription_tier column (default 'starter') and stripe_customer_id. The following tier values should be standardised:</w:t>
      </w:r>
    </w:p>
    <w:p>
      <w:pPr>
        <w:pStyle w:val="ListParagraph"/>
        <w:numPr>
          <w:ilvl w:val="0"/>
          <w:numId w:val="2"/>
        </w:numPr>
        <w:spacing w:after="40" w:before="40"/>
        <w:ind w:left="720" w:hanging="360"/>
      </w:pPr>
      <w:r>
        <w:rPr>
          <w:rFonts w:ascii="Arial" w:cs="Arial" w:eastAsia="Arial" w:hAnsi="Arial"/>
          <w:color w:val="1A1A2E"/>
          <w:sz w:val="20"/>
          <w:szCs w:val="20"/>
        </w:rPr>
        <w:t xml:space="preserve">'free' → Explorer (default for all new users)</w:t>
      </w:r>
    </w:p>
    <w:p>
      <w:pPr>
        <w:pStyle w:val="ListParagraph"/>
        <w:numPr>
          <w:ilvl w:val="0"/>
          <w:numId w:val="2"/>
        </w:numPr>
        <w:spacing w:after="40" w:before="40"/>
        <w:ind w:left="720" w:hanging="360"/>
      </w:pPr>
      <w:r>
        <w:rPr>
          <w:rFonts w:ascii="Arial" w:cs="Arial" w:eastAsia="Arial" w:hAnsi="Arial"/>
          <w:color w:val="1A1A2E"/>
          <w:sz w:val="20"/>
          <w:szCs w:val="20"/>
        </w:rPr>
        <w:t xml:space="preserve">'portfolio_pro' → Portfolio Pro investor plan</w:t>
      </w:r>
    </w:p>
    <w:p>
      <w:pPr>
        <w:pStyle w:val="ListParagraph"/>
        <w:numPr>
          <w:ilvl w:val="0"/>
          <w:numId w:val="2"/>
        </w:numPr>
        <w:spacing w:after="40" w:before="40"/>
        <w:ind w:left="720" w:hanging="360"/>
      </w:pPr>
      <w:r>
        <w:rPr>
          <w:rFonts w:ascii="Arial" w:cs="Arial" w:eastAsia="Arial" w:hAnsi="Arial"/>
          <w:color w:val="1A1A2E"/>
          <w:sz w:val="20"/>
          <w:szCs w:val="20"/>
        </w:rPr>
        <w:t xml:space="preserve">'adviser_starter' → Adviser Starter</w:t>
      </w:r>
    </w:p>
    <w:p>
      <w:pPr>
        <w:pStyle w:val="ListParagraph"/>
        <w:numPr>
          <w:ilvl w:val="0"/>
          <w:numId w:val="2"/>
        </w:numPr>
        <w:spacing w:after="40" w:before="40"/>
        <w:ind w:left="720" w:hanging="360"/>
      </w:pPr>
      <w:r>
        <w:rPr>
          <w:rFonts w:ascii="Arial" w:cs="Arial" w:eastAsia="Arial" w:hAnsi="Arial"/>
          <w:color w:val="1A1A2E"/>
          <w:sz w:val="20"/>
          <w:szCs w:val="20"/>
        </w:rPr>
        <w:t xml:space="preserve">'adviser_growth' → Adviser Growth</w:t>
      </w:r>
    </w:p>
    <w:p>
      <w:pPr>
        <w:pStyle w:val="ListParagraph"/>
        <w:numPr>
          <w:ilvl w:val="0"/>
          <w:numId w:val="2"/>
        </w:numPr>
        <w:spacing w:after="40" w:before="40"/>
        <w:ind w:left="720" w:hanging="360"/>
      </w:pPr>
      <w:r>
        <w:rPr>
          <w:rFonts w:ascii="Arial" w:cs="Arial" w:eastAsia="Arial" w:hAnsi="Arial"/>
          <w:color w:val="1A1A2E"/>
          <w:sz w:val="20"/>
          <w:szCs w:val="20"/>
        </w:rPr>
        <w:t xml:space="preserve">'adviser_scale' → Adviser Scale</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11.2 Feature Gating</w:t>
      </w:r>
    </w:p>
    <w:p>
      <w:pPr>
        <w:spacing w:after="60" w:before="60"/>
      </w:pPr>
      <w:r>
        <w:rPr>
          <w:rFonts w:ascii="Arial" w:cs="Arial" w:eastAsia="Arial" w:hAnsi="Arial"/>
          <w:b w:val="false"/>
          <w:bCs w:val="false"/>
          <w:i w:val="false"/>
          <w:iCs w:val="false"/>
          <w:color w:val="1A1A2E"/>
          <w:sz w:val="20"/>
          <w:szCs w:val="20"/>
        </w:rPr>
        <w:t xml:space="preserve">FeatureGate.tsx is already in the codebase. It should gate the following routes by tier:</w:t>
      </w:r>
    </w:p>
    <w:p>
      <w:pPr>
        <w:pStyle w:val="ListParagraph"/>
        <w:numPr>
          <w:ilvl w:val="0"/>
          <w:numId w:val="2"/>
        </w:numPr>
        <w:spacing w:after="40" w:before="40"/>
        <w:ind w:left="720" w:hanging="360"/>
      </w:pPr>
      <w:r>
        <w:rPr>
          <w:rFonts w:ascii="Arial" w:cs="Arial" w:eastAsia="Arial" w:hAnsi="Arial"/>
          <w:color w:val="1A1A2E"/>
          <w:sz w:val="20"/>
          <w:szCs w:val="20"/>
        </w:rPr>
        <w:t xml:space="preserve">/portfolio → requires portfolio_pro or any adviser tier</w:t>
      </w:r>
    </w:p>
    <w:p>
      <w:pPr>
        <w:pStyle w:val="ListParagraph"/>
        <w:numPr>
          <w:ilvl w:val="0"/>
          <w:numId w:val="2"/>
        </w:numPr>
        <w:spacing w:after="40" w:before="40"/>
        <w:ind w:left="720" w:hanging="360"/>
      </w:pPr>
      <w:r>
        <w:rPr>
          <w:rFonts w:ascii="Arial" w:cs="Arial" w:eastAsia="Arial" w:hAnsi="Arial"/>
          <w:color w:val="1A1A2E"/>
          <w:sz w:val="20"/>
          <w:szCs w:val="20"/>
        </w:rPr>
        <w:t xml:space="preserve">/portfolio/add → upgrade prompt for Explorer users</w:t>
      </w:r>
    </w:p>
    <w:p>
      <w:pPr>
        <w:pStyle w:val="ListParagraph"/>
        <w:numPr>
          <w:ilvl w:val="0"/>
          <w:numId w:val="2"/>
        </w:numPr>
        <w:spacing w:after="40" w:before="40"/>
        <w:ind w:left="720" w:hanging="360"/>
      </w:pPr>
      <w:r>
        <w:rPr>
          <w:rFonts w:ascii="Arial" w:cs="Arial" w:eastAsia="Arial" w:hAnsi="Arial"/>
          <w:color w:val="1A1A2E"/>
          <w:sz w:val="20"/>
          <w:szCs w:val="20"/>
        </w:rPr>
        <w:t xml:space="preserve">/admin/* → adviser tiers only</w:t>
      </w:r>
    </w:p>
    <w:p>
      <w:pPr>
        <w:pStyle w:val="ListParagraph"/>
        <w:numPr>
          <w:ilvl w:val="0"/>
          <w:numId w:val="2"/>
        </w:numPr>
        <w:spacing w:after="40" w:before="40"/>
        <w:ind w:left="720" w:hanging="360"/>
      </w:pPr>
      <w:r>
        <w:rPr>
          <w:rFonts w:ascii="Arial" w:cs="Arial" w:eastAsia="Arial" w:hAnsi="Arial"/>
          <w:color w:val="1A1A2E"/>
          <w:sz w:val="20"/>
          <w:szCs w:val="20"/>
        </w:rPr>
        <w:t xml:space="preserve">/setup → adviser tiers only (SetupWizard)</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11.3 Stripe Products to Create</w:t>
      </w:r>
    </w:p>
    <w:p>
      <w:pPr>
        <w:spacing w:after="60" w:before="60"/>
      </w:pPr>
      <w:r>
        <w:rPr>
          <w:rFonts w:ascii="Arial" w:cs="Arial" w:eastAsia="Arial" w:hAnsi="Arial"/>
          <w:b w:val="false"/>
          <w:bCs w:val="false"/>
          <w:i w:val="false"/>
          <w:iCs w:val="false"/>
          <w:color w:val="1A1A2E"/>
          <w:sz w:val="20"/>
          <w:szCs w:val="20"/>
        </w:rPr>
        <w:t xml:space="preserve">Create four Stripe products (each with monthly and annual prices):</w:t>
      </w:r>
    </w:p>
    <w:p>
      <w:pPr>
        <w:pStyle w:val="ListParagraph"/>
        <w:numPr>
          <w:ilvl w:val="0"/>
          <w:numId w:val="2"/>
        </w:numPr>
        <w:spacing w:after="40" w:before="40"/>
        <w:ind w:left="720" w:hanging="360"/>
      </w:pPr>
      <w:r>
        <w:rPr>
          <w:rFonts w:ascii="Arial" w:cs="Arial" w:eastAsia="Arial" w:hAnsi="Arial"/>
          <w:color w:val="1A1A2E"/>
          <w:sz w:val="20"/>
          <w:szCs w:val="20"/>
        </w:rPr>
        <w:t xml:space="preserve">prod_portfolio_pro → AED 99/month, AED 948/year</w:t>
      </w:r>
    </w:p>
    <w:p>
      <w:pPr>
        <w:pStyle w:val="ListParagraph"/>
        <w:numPr>
          <w:ilvl w:val="0"/>
          <w:numId w:val="2"/>
        </w:numPr>
        <w:spacing w:after="40" w:before="40"/>
        <w:ind w:left="720" w:hanging="360"/>
      </w:pPr>
      <w:r>
        <w:rPr>
          <w:rFonts w:ascii="Arial" w:cs="Arial" w:eastAsia="Arial" w:hAnsi="Arial"/>
          <w:color w:val="1A1A2E"/>
          <w:sz w:val="20"/>
          <w:szCs w:val="20"/>
        </w:rPr>
        <w:t xml:space="preserve">prod_adviser_starter → AED 299/month, AED 2,868/year</w:t>
      </w:r>
    </w:p>
    <w:p>
      <w:pPr>
        <w:pStyle w:val="ListParagraph"/>
        <w:numPr>
          <w:ilvl w:val="0"/>
          <w:numId w:val="2"/>
        </w:numPr>
        <w:spacing w:after="40" w:before="40"/>
        <w:ind w:left="720" w:hanging="360"/>
      </w:pPr>
      <w:r>
        <w:rPr>
          <w:rFonts w:ascii="Arial" w:cs="Arial" w:eastAsia="Arial" w:hAnsi="Arial"/>
          <w:color w:val="1A1A2E"/>
          <w:sz w:val="20"/>
          <w:szCs w:val="20"/>
        </w:rPr>
        <w:t xml:space="preserve">prod_adviser_growth → AED 599/month, AED 5,748/year</w:t>
      </w:r>
    </w:p>
    <w:p>
      <w:pPr>
        <w:pStyle w:val="ListParagraph"/>
        <w:numPr>
          <w:ilvl w:val="0"/>
          <w:numId w:val="2"/>
        </w:numPr>
        <w:spacing w:after="40" w:before="40"/>
        <w:ind w:left="720" w:hanging="360"/>
      </w:pPr>
      <w:r>
        <w:rPr>
          <w:rFonts w:ascii="Arial" w:cs="Arial" w:eastAsia="Arial" w:hAnsi="Arial"/>
          <w:color w:val="1A1A2E"/>
          <w:sz w:val="20"/>
          <w:szCs w:val="20"/>
        </w:rPr>
        <w:t xml:space="preserve">prod_adviser_scale → AED 999/month, AED 9,588/year</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11.4 Upgrade Flow</w:t>
      </w:r>
    </w:p>
    <w:p>
      <w:pPr>
        <w:spacing w:after="60" w:before="60"/>
      </w:pPr>
      <w:r>
        <w:rPr>
          <w:rFonts w:ascii="Arial" w:cs="Arial" w:eastAsia="Arial" w:hAnsi="Arial"/>
          <w:b w:val="false"/>
          <w:bCs w:val="false"/>
          <w:i w:val="false"/>
          <w:iCs w:val="false"/>
          <w:color w:val="1A1A2E"/>
          <w:sz w:val="20"/>
          <w:szCs w:val="20"/>
        </w:rPr>
        <w:t xml:space="preserve">When a free user hits a gated feature: show an upgrade modal with plan cards, link to Stripe Checkout, redirect back on success, and webhook updates tenant subscription_tier in Supabase. The upgrade CTA for Explorer users hitting the portfolio wall should lead with the ROI argument: 'Track your Dubai property portfolio for AED 99/month — less than a restaurant dinner.'</w:t>
      </w:r>
    </w:p>
    <w:p>
      <w:pPr>
        <w:spacing w:after="0" w:before="120"/>
      </w:pPr>
      <w:r>
        <w:t xml:space="preserve"/>
      </w:r>
    </w:p>
    <w:p>
      <w:pPr>
        <w:pStyle w:val="Heading1"/>
        <w:pBdr>
          <w:bottom w:val="single" w:color="CAAF6C" w:sz="8" w:space="4"/>
        </w:pBdr>
        <w:spacing w:after="160" w:before="320"/>
      </w:pPr>
      <w:r>
        <w:rPr>
          <w:rFonts w:ascii="Arial" w:cs="Arial" w:eastAsia="Arial" w:hAnsi="Arial"/>
          <w:b/>
          <w:bCs/>
          <w:color w:val="1A1A2E"/>
          <w:sz w:val="36"/>
          <w:szCs w:val="36"/>
        </w:rPr>
        <w:t xml:space="preserve">12. Summary &amp; Recommended Action</w:t>
      </w:r>
    </w:p>
    <w:p>
      <w:pPr>
        <w:spacing w:after="60" w:before="60"/>
      </w:pPr>
      <w:r>
        <w:rPr>
          <w:rFonts w:ascii="Arial" w:cs="Arial" w:eastAsia="Arial" w:hAnsi="Arial"/>
          <w:b w:val="false"/>
          <w:bCs w:val="false"/>
          <w:i w:val="false"/>
          <w:iCs w:val="false"/>
          <w:color w:val="1A1A2E"/>
          <w:sz w:val="20"/>
          <w:szCs w:val="20"/>
        </w:rPr>
        <w:t xml:space="preserve">The pricing architecture gives RealSight a clear path to capturing DXBinteract's entire user base while building sustainable recurring revenue. The structure is straightforward, defensible, and aligned with how Dubai real estate professionals already think about value.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Recommended Action</w:t>
            </w:r>
          </w:p>
        </w:tc>
        <w:tc>
          <w:tcPr>
            <w:tcW w:type="dxa" w:w="4680"/>
            <w:gridSpan w:val="1"/>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CAAF6C"/>
                <w:sz w:val="18"/>
                <w:szCs w:val="18"/>
              </w:rPr>
              <w:t xml:space="preserve">Priority</w:t>
            </w:r>
          </w:p>
        </w:tc>
      </w:tr>
      <w:tr>
        <w:tc>
          <w:tcPr>
            <w:tcW w:type="dxa" w:w="46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Launch Explorer (free tier) with full DLD + Reelly.ai data as the public homepage</w:t>
            </w:r>
          </w:p>
        </w:tc>
        <w:tc>
          <w:tcPr>
            <w:tcW w:type="dxa" w:w="46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20"/>
                <w:szCs w:val="20"/>
              </w:rPr>
              <w:t xml:space="preserve">Week 1 — Critical path</w:t>
            </w:r>
          </w:p>
        </w:tc>
      </w:tr>
      <w:tr>
        <w:tc>
          <w:tcPr>
            <w:tcW w:type="dxa" w:w="46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Wire Stripe Checkout for Portfolio Pro and Adviser Starter (minimum viable billing)</w:t>
            </w:r>
          </w:p>
        </w:tc>
        <w:tc>
          <w:tcPr>
            <w:tcW w:type="dxa" w:w="46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20"/>
                <w:szCs w:val="20"/>
              </w:rPr>
              <w:t xml:space="preserve">Week 1–2 — Critical path</w:t>
            </w:r>
          </w:p>
        </w:tc>
      </w:tr>
      <w:tr>
        <w:tc>
          <w:tcPr>
            <w:tcW w:type="dxa" w:w="46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Gate portfolio features behind Portfolio Pro with upgrade modal</w:t>
            </w:r>
          </w:p>
        </w:tc>
        <w:tc>
          <w:tcPr>
            <w:tcW w:type="dxa" w:w="46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20"/>
                <w:szCs w:val="20"/>
              </w:rPr>
              <w:t xml:space="preserve">Week 2 — Critical path</w:t>
            </w:r>
          </w:p>
        </w:tc>
      </w:tr>
      <w:tr>
        <w:tc>
          <w:tcPr>
            <w:tcW w:type="dxa" w:w="46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Run Founding Adviser promotion for first 50 sign-ups at AED 199/month</w:t>
            </w:r>
          </w:p>
        </w:tc>
        <w:tc>
          <w:tcPr>
            <w:tcW w:type="dxa" w:w="468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Launch day — Time sensitive</w:t>
            </w:r>
          </w:p>
        </w:tc>
      </w:tr>
      <w:tr>
        <w:tc>
          <w:tcPr>
            <w:tcW w:type="dxa" w:w="46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Produce 'RealSight vs DXBinteract' content for agent LinkedIn/Instagram outreach</w:t>
            </w:r>
          </w:p>
        </w:tc>
        <w:tc>
          <w:tcPr>
            <w:tcW w:type="dxa" w:w="46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Week 2–3 — High priority</w:t>
            </w:r>
          </w:p>
        </w:tc>
      </w:tr>
      <w:tr>
        <w:tc>
          <w:tcPr>
            <w:tcW w:type="dxa" w:w="46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Add Adviser Growth and Scale tiers (custom domain, analytics, team seats)</w:t>
            </w:r>
          </w:p>
        </w:tc>
        <w:tc>
          <w:tcPr>
            <w:tcW w:type="dxa" w:w="46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Month 2 — Post-launch polish</w:t>
            </w:r>
          </w:p>
        </w:tc>
      </w:tr>
      <w:tr>
        <w:tc>
          <w:tcPr>
            <w:tcW w:type="dxa" w:w="46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International markets (US, UK, Singapore, Spain) — separate pricing research needed</w:t>
            </w:r>
          </w:p>
        </w:tc>
        <w:tc>
          <w:tcPr>
            <w:tcW w:type="dxa" w:w="46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Month 3+ — Expansion phase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Final thought: The goal is not to price RealSight competitively — it is to make RealSight obviously worth it. At AED 299/month, every adviser in Dubai can justify the cost before they finish reading the landing page. Start there and grow up.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AF6C" w:sz="4" w:space="4"/>
      </w:pBdr>
    </w:pPr>
    <w:r>
      <w:rPr>
        <w:rFonts w:ascii="Arial" w:cs="Arial" w:eastAsia="Arial" w:hAnsi="Arial"/>
        <w:b/>
        <w:bCs/>
        <w:color w:val="CAAF6C"/>
        <w:sz w:val="16"/>
        <w:szCs w:val="16"/>
      </w:rPr>
      <w:t xml:space="preserve">realsight.app</w:t>
    </w:r>
    <w:r>
      <w:rPr>
        <w:rFonts w:ascii="Arial" w:cs="Arial" w:eastAsia="Arial" w:hAnsi="Arial"/>
        <w:color w:val="AAAAAA"/>
        <w:sz w:val="16"/>
        <w:szCs w:val="16"/>
      </w:rPr>
      <w:t xml:space="preserve">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F6C" w:sz="6" w:space="4"/>
      </w:pBdr>
    </w:pPr>
    <w:r>
      <w:rPr>
        <w:rFonts w:ascii="Arial" w:cs="Arial" w:eastAsia="Arial" w:hAnsi="Arial"/>
        <w:color w:val="4A4A6A"/>
        <w:sz w:val="18"/>
        <w:szCs w:val="18"/>
      </w:rPr>
      <w:t xml:space="preserve">RealSight — Pricing Strategy &amp; Plan Architecture</w:t>
    </w:r>
    <w:r>
      <w:rPr>
        <w:rFonts w:ascii="Arial" w:cs="Arial" w:eastAsia="Arial" w:hAnsi="Arial"/>
        <w:color w:val="AAAAAA"/>
        <w:sz w:val="16"/>
        <w:szCs w:val="16"/>
      </w:rPr>
      <w:t xml:space="preserve">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2026-04-13T10:38:51.212Z</dcterms:created>
  <dcterms:modified xsi:type="dcterms:W3CDTF">2026-04-13T10:38:51.212Z</dcterms:modified>
</cp:coreProperties>
</file>

<file path=docProps/custom.xml><?xml version="1.0" encoding="utf-8"?>
<Properties xmlns="http://schemas.openxmlformats.org/officeDocument/2006/custom-properties" xmlns:vt="http://schemas.openxmlformats.org/officeDocument/2006/docPropsVTypes"/>
</file>