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jc w:val="center"/>
      </w:pPr>
      <w:r>
        <w:rPr>
          <w:rFonts w:ascii="Arial" w:cs="Arial" w:eastAsia="Arial" w:hAnsi="Arial"/>
          <w:b/>
          <w:bCs/>
          <w:color w:val="CAAF6C"/>
          <w:sz w:val="80"/>
          <w:szCs w:val="80"/>
        </w:rPr>
        <w:t xml:space="preserve">REALSIGHT</w:t>
      </w:r>
    </w:p>
    <w:p>
      <w:pPr>
        <w:spacing w:after="120" w:before="0"/>
        <w:jc w:val="center"/>
      </w:pPr>
      <w:r>
        <w:rPr>
          <w:rFonts w:ascii="Arial" w:cs="Arial" w:eastAsia="Arial" w:hAnsi="Arial"/>
          <w:b w:val="false"/>
          <w:bCs w:val="false"/>
          <w:color w:val="1A1A2E"/>
          <w:sz w:val="40"/>
          <w:szCs w:val="40"/>
        </w:rPr>
        <w:t xml:space="preserve">Pricing Strategy &amp; Plan Architecture</w:t>
      </w:r>
    </w:p>
    <w:p>
      <w:pPr>
        <w:pBdr>
          <w:bottom w:val="single" w:color="CAAF6C" w:sz="12" w:space="8"/>
        </w:pBdr>
        <w:spacing w:after="480" w:before="0"/>
        <w:jc w:val="center"/>
      </w:pPr>
      <w:r>
        <w:rPr>
          <w:rFonts w:ascii="Arial" w:cs="Arial" w:eastAsia="Arial" w:hAnsi="Arial"/>
          <w:color w:val="4A4A6A"/>
          <w:sz w:val="24"/>
          <w:szCs w:val="24"/>
        </w:rPr>
        <w:t xml:space="preserve">Global Real Estate Intelligence Platform  |  v2.0</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AAF6C" w:sz="1"/>
              <w:left w:val="single" w:color="CAAF6C" w:sz="1"/>
              <w:bottom w:val="single" w:color="CAAF6C" w:sz="1"/>
              <w:right w:val="single" w:color="CAAF6C" w:sz="1"/>
            </w:tcBorders>
            <w:shd w:fill="1A1A2E" w:val="clear"/>
            <w:tcMar>
              <w:top w:type="dxa" w:w="200"/>
              <w:left w:type="dxa" w:w="300"/>
              <w:bottom w:type="dxa" w:w="200"/>
              <w:right w:type="dxa" w:w="300"/>
            </w:tcMar>
          </w:tcPr>
          <w:p>
            <w:pPr>
              <w:jc w:val="center"/>
            </w:pPr>
            <w:r>
              <w:rPr>
                <w:rFonts w:ascii="Arial" w:cs="Arial" w:eastAsia="Arial" w:hAnsi="Arial"/>
                <w:b/>
                <w:bCs/>
                <w:i/>
                <w:iCs/>
                <w:color w:val="CAAF6C"/>
                <w:sz w:val="26"/>
                <w:szCs w:val="26"/>
              </w:rPr>
              <w:t xml:space="preserve">"Research is free. Portfolio is paid. Advisers are empowered."</w:t>
            </w:r>
          </w:p>
        </w:tc>
      </w:tr>
    </w:tbl>
    <w:p>
      <w:pPr>
        <w:spacing w:after="0" w:before="480"/>
      </w:pPr>
      <w:r>
        <w:t xml:space="preserve"/>
      </w:r>
    </w:p>
    <w:p>
      <w:pPr>
        <w:spacing w:after="60" w:before="60"/>
        <w:jc w:val="center"/>
      </w:pPr>
      <w:r>
        <w:rPr>
          <w:rFonts w:ascii="Arial" w:cs="Arial" w:eastAsia="Arial" w:hAnsi="Arial"/>
          <w:color w:val="4A4A6A"/>
          <w:sz w:val="20"/>
          <w:szCs w:val="20"/>
        </w:rPr>
        <w:t xml:space="preserve">Confidential — April 2026</w:t>
      </w:r>
    </w:p>
    <w:p>
      <w:pPr>
        <w:spacing w:after="60" w:before="0"/>
        <w:jc w:val="center"/>
      </w:pPr>
      <w:r>
        <w:rPr>
          <w:rFonts w:ascii="Arial" w:cs="Arial" w:eastAsia="Arial" w:hAnsi="Arial"/>
          <w:b/>
          <w:bCs/>
          <w:color w:val="CAAF6C"/>
          <w:sz w:val="22"/>
          <w:szCs w:val="22"/>
        </w:rPr>
        <w:t xml:space="preserve">realsight.app</w:t>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1. Executive Summary</w:t>
      </w:r>
    </w:p>
    <w:p>
      <w:pPr>
        <w:spacing w:after="60" w:before="60"/>
      </w:pPr>
      <w:r>
        <w:rPr>
          <w:rFonts w:ascii="Arial" w:cs="Arial" w:eastAsia="Arial" w:hAnsi="Arial"/>
          <w:b w:val="false"/>
          <w:bCs w:val="false"/>
          <w:i w:val="false"/>
          <w:iCs w:val="false"/>
          <w:color w:val="1A1A2E"/>
          <w:sz w:val="20"/>
          <w:szCs w:val="20"/>
        </w:rPr>
        <w:t xml:space="preserve">RealSight is a global real estate intelligence platform. Dubai is the launch market, but the architecture supports any market with reliable transaction data. The pricing strategy reflects this: we charge in USD, position globally, and use Dubai's extraordinary agent commission economics as the primary sales proof point.</w:t>
      </w:r>
    </w:p>
    <w:p>
      <w:pPr>
        <w:spacing w:after="0" w:before="60"/>
      </w:pPr>
      <w:r>
        <w:t xml:space="preserve"/>
      </w:r>
    </w:p>
    <w:p>
      <w:pPr>
        <w:spacing w:after="60" w:before="60"/>
      </w:pPr>
      <w:r>
        <w:rPr>
          <w:rFonts w:ascii="Arial" w:cs="Arial" w:eastAsia="Arial" w:hAnsi="Arial"/>
          <w:b w:val="false"/>
          <w:bCs w:val="false"/>
          <w:i w:val="false"/>
          <w:iCs w:val="false"/>
          <w:color w:val="1A1A2E"/>
          <w:sz w:val="20"/>
          <w:szCs w:val="20"/>
        </w:rPr>
        <w:t xml:space="preserve">The model has three pillars:</w:t>
      </w:r>
    </w:p>
    <w:p>
      <w:pPr>
        <w:spacing w:after="0" w:before="40"/>
      </w:pPr>
      <w:r>
        <w:t xml:space="preserve"/>
      </w:r>
    </w:p>
    <w:p>
      <w:pPr>
        <w:pStyle w:val="ListParagraph"/>
        <w:numPr>
          <w:ilvl w:val="0"/>
          <w:numId w:val="2"/>
        </w:numPr>
        <w:spacing w:after="40" w:before="40"/>
      </w:pPr>
      <w:r>
        <w:rPr>
          <w:rFonts w:ascii="Arial" w:cs="Arial" w:eastAsia="Arial" w:hAnsi="Arial"/>
          <w:color w:val="1A1A2E"/>
          <w:sz w:val="20"/>
          <w:szCs w:val="20"/>
        </w:rPr>
        <w:t xml:space="preserve">Research is always free — the heatmap, DLD transactions, area price history, and project listings are free for every user. This matches DXBinteract and removes all friction from the sign-up decision.</w:t>
      </w:r>
    </w:p>
    <w:p>
      <w:pPr>
        <w:pStyle w:val="ListParagraph"/>
        <w:numPr>
          <w:ilvl w:val="0"/>
          <w:numId w:val="2"/>
        </w:numPr>
        <w:spacing w:after="40" w:before="40"/>
      </w:pPr>
      <w:r>
        <w:rPr>
          <w:rFonts w:ascii="Arial" w:cs="Arial" w:eastAsia="Arial" w:hAnsi="Arial"/>
          <w:color w:val="1A1A2E"/>
          <w:sz w:val="20"/>
          <w:szCs w:val="20"/>
        </w:rPr>
        <w:t xml:space="preserve">Portfolio tracking is a $29/month investor upgrade — lightweight, obviously worth it for anyone tracking real property wealth.</w:t>
      </w:r>
    </w:p>
    <w:p>
      <w:pPr>
        <w:pStyle w:val="ListParagraph"/>
        <w:numPr>
          <w:ilvl w:val="0"/>
          <w:numId w:val="2"/>
        </w:numPr>
        <w:spacing w:after="40" w:before="40"/>
      </w:pPr>
      <w:r>
        <w:rPr>
          <w:rFonts w:ascii="Arial" w:cs="Arial" w:eastAsia="Arial" w:hAnsi="Arial"/>
          <w:color w:val="1A1A2E"/>
          <w:sz w:val="20"/>
          <w:szCs w:val="20"/>
        </w:rPr>
        <w:t xml:space="preserve">Adviser plans are the revenue engine — two tiers, $99 and $199/month. Every new adviser gets a 30-day free trial on the Pro plan (all features, no credit card required). One closed deal covers years of subscription fees.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Strategic goal: attract every DXBinteract user with a free product that matches it feature-for-feature, then convert advisers into paid subscribers with tools DXBinteract can never offer — off-plan intelligence, AI market analysis, branded portals, and portfolio management for their clients.</w:t>
            </w:r>
          </w:p>
        </w:tc>
      </w:tr>
    </w:tbl>
    <w:p>
      <w:pPr>
        <w:spacing w:after="0" w:before="80"/>
      </w:pPr>
      <w:r>
        <w:t xml:space="preserve"/>
      </w:r>
    </w:p>
    <w:p>
      <w:pPr>
        <w:pStyle w:val="Heading2"/>
        <w:spacing w:after="120" w:before="240"/>
      </w:pPr>
      <w:r>
        <w:rPr>
          <w:rFonts w:ascii="Arial" w:cs="Arial" w:eastAsia="Arial" w:hAnsi="Arial"/>
          <w:b/>
          <w:bCs/>
          <w:color w:val="2D2D44"/>
          <w:sz w:val="26"/>
          <w:szCs w:val="26"/>
        </w:rPr>
        <w:t xml:space="preserve">1.1 What Changed in v2.0</w:t>
      </w:r>
    </w:p>
    <w:p>
      <w:pPr>
        <w:spacing w:after="60" w:before="60"/>
      </w:pPr>
      <w:r>
        <w:rPr>
          <w:rFonts w:ascii="Arial" w:cs="Arial" w:eastAsia="Arial" w:hAnsi="Arial"/>
          <w:b w:val="false"/>
          <w:bCs w:val="false"/>
          <w:i w:val="false"/>
          <w:iCs w:val="false"/>
          <w:color w:val="1A1A2E"/>
          <w:sz w:val="20"/>
          <w:szCs w:val="20"/>
        </w:rPr>
        <w:t xml:space="preserve">This revision simplifies the adviser tier structure and sharpens the product focus for fast launch:</w:t>
      </w:r>
    </w:p>
    <w:p>
      <w:pPr>
        <w:pStyle w:val="ListParagraph"/>
        <w:numPr>
          <w:ilvl w:val="0"/>
          <w:numId w:val="2"/>
        </w:numPr>
        <w:spacing w:after="40" w:before="40"/>
      </w:pPr>
      <w:r>
        <w:rPr>
          <w:rFonts w:ascii="Arial" w:cs="Arial" w:eastAsia="Arial" w:hAnsi="Arial"/>
          <w:color w:val="1A1A2E"/>
          <w:sz w:val="20"/>
          <w:szCs w:val="20"/>
        </w:rPr>
        <w:t xml:space="preserve">Adviser plans reduced from three tiers to two: Starter ($99) and Pro ($199). Simpler to sell, simpler to build.</w:t>
      </w:r>
    </w:p>
    <w:p>
      <w:pPr>
        <w:pStyle w:val="ListParagraph"/>
        <w:numPr>
          <w:ilvl w:val="0"/>
          <w:numId w:val="2"/>
        </w:numPr>
        <w:spacing w:after="40" w:before="40"/>
      </w:pPr>
      <w:r>
        <w:rPr>
          <w:rFonts w:ascii="Arial" w:cs="Arial" w:eastAsia="Arial" w:hAnsi="Arial"/>
          <w:color w:val="1A1A2E"/>
          <w:sz w:val="20"/>
          <w:szCs w:val="20"/>
        </w:rPr>
        <w:t xml:space="preserve">Custom domains, priority support, team seats, and agency features removed — not needed at launch.</w:t>
      </w:r>
    </w:p>
    <w:p>
      <w:pPr>
        <w:pStyle w:val="ListParagraph"/>
        <w:numPr>
          <w:ilvl w:val="0"/>
          <w:numId w:val="2"/>
        </w:numPr>
        <w:spacing w:after="40" w:before="40"/>
      </w:pPr>
      <w:r>
        <w:rPr>
          <w:rFonts w:ascii="Arial" w:cs="Arial" w:eastAsia="Arial" w:hAnsi="Arial"/>
          <w:color w:val="1A1A2E"/>
          <w:sz w:val="20"/>
          <w:szCs w:val="20"/>
        </w:rPr>
        <w:t xml:space="preserve">Currency changed to USD throughout — RealSight is international, not Dubai-only.</w:t>
      </w:r>
    </w:p>
    <w:p>
      <w:pPr>
        <w:pStyle w:val="ListParagraph"/>
        <w:numPr>
          <w:ilvl w:val="0"/>
          <w:numId w:val="2"/>
        </w:numPr>
        <w:spacing w:after="40" w:before="40"/>
      </w:pPr>
      <w:r>
        <w:rPr>
          <w:rFonts w:ascii="Arial" w:cs="Arial" w:eastAsia="Arial" w:hAnsi="Arial"/>
          <w:color w:val="1A1A2E"/>
          <w:sz w:val="20"/>
          <w:szCs w:val="20"/>
        </w:rPr>
        <w:t xml:space="preserve">New feature: AI Off-Plan Market Analysis added as the Pro-exclusive flagship capability.</w:t>
      </w:r>
    </w:p>
    <w:p>
      <w:pPr>
        <w:pStyle w:val="ListParagraph"/>
        <w:numPr>
          <w:ilvl w:val="0"/>
          <w:numId w:val="2"/>
        </w:numPr>
        <w:spacing w:after="40" w:before="40"/>
      </w:pPr>
      <w:r>
        <w:rPr>
          <w:rFonts w:ascii="Arial" w:cs="Arial" w:eastAsia="Arial" w:hAnsi="Arial"/>
          <w:color w:val="1A1A2E"/>
          <w:sz w:val="20"/>
          <w:szCs w:val="20"/>
        </w:rPr>
        <w:t xml:space="preserve">30-day free trial on Adviser Pro introduced as the primary acquisition mechanic.</w:t>
      </w:r>
    </w:p>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2. Plan Overview</w:t>
      </w:r>
    </w:p>
    <w:p>
      <w:pPr>
        <w:spacing w:after="60" w:before="60"/>
      </w:pPr>
      <w:r>
        <w:rPr>
          <w:rFonts w:ascii="Arial" w:cs="Arial" w:eastAsia="Arial" w:hAnsi="Arial"/>
          <w:b w:val="false"/>
          <w:bCs w:val="false"/>
          <w:i w:val="false"/>
          <w:iCs w:val="false"/>
          <w:color w:val="1A1A2E"/>
          <w:sz w:val="20"/>
          <w:szCs w:val="20"/>
        </w:rPr>
        <w:t xml:space="preserve">RealSight has four plans across two user types. Investors get full research for free and pay only if they want portfolio management. Advisers get a 30-day free trial on the full Pro plan before choosing a tier.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AAF6C" w:sz="1"/>
              <w:left w:val="single" w:color="CAAF6C" w:sz="1"/>
              <w:bottom w:val="single" w:color="CAAF6C" w:sz="1"/>
              <w:right w:val="single" w:color="CAAF6C" w:sz="1"/>
            </w:tcBorders>
            <w:shd w:fill="2D2D44" w:val="clear"/>
            <w:tcMar>
              <w:top w:type="dxa" w:w="120"/>
              <w:left w:type="dxa" w:w="140"/>
              <w:bottom w:type="dxa" w:w="80"/>
              <w:right w:type="dxa" w:w="140"/>
            </w:tcMar>
          </w:tcPr>
          <w:p>
            <w:pPr>
              <w:jc w:val="center"/>
            </w:pPr>
            <w:r>
              <w:rPr>
                <w:rFonts w:ascii="Arial" w:cs="Arial" w:eastAsia="Arial" w:hAnsi="Arial"/>
                <w:b/>
                <w:bCs/>
                <w:color w:val="CAAF6C"/>
                <w:sz w:val="22"/>
                <w:szCs w:val="22"/>
              </w:rPr>
              <w:t xml:space="preserve">Explorer</w:t>
            </w:r>
          </w:p>
        </w:tc>
        <w:tc>
          <w:tcPr>
            <w:tcW w:type="dxa" w:w="2340"/>
            <w:tcBorders>
              <w:top w:val="single" w:color="CAAF6C" w:sz="1"/>
              <w:left w:val="single" w:color="CAAF6C" w:sz="1"/>
              <w:bottom w:val="single" w:color="CAAF6C" w:sz="1"/>
              <w:right w:val="single" w:color="CAAF6C" w:sz="1"/>
            </w:tcBorders>
            <w:shd w:fill="1A1A2E" w:val="clear"/>
            <w:tcMar>
              <w:top w:type="dxa" w:w="120"/>
              <w:left w:type="dxa" w:w="140"/>
              <w:bottom w:type="dxa" w:w="80"/>
              <w:right w:type="dxa" w:w="140"/>
            </w:tcMar>
          </w:tcPr>
          <w:p>
            <w:pPr>
              <w:jc w:val="center"/>
            </w:pPr>
            <w:r>
              <w:rPr>
                <w:rFonts w:ascii="Arial" w:cs="Arial" w:eastAsia="Arial" w:hAnsi="Arial"/>
                <w:b/>
                <w:bCs/>
                <w:color w:val="CAAF6C"/>
                <w:sz w:val="22"/>
                <w:szCs w:val="22"/>
              </w:rPr>
              <w:t xml:space="preserve">Portfolio Pro</w:t>
            </w:r>
          </w:p>
        </w:tc>
        <w:tc>
          <w:tcPr>
            <w:tcW w:type="dxa" w:w="2340"/>
            <w:tcBorders>
              <w:top w:val="single" w:color="CAAF6C" w:sz="1"/>
              <w:left w:val="single" w:color="CAAF6C" w:sz="1"/>
              <w:bottom w:val="single" w:color="CAAF6C" w:sz="1"/>
              <w:right w:val="single" w:color="CAAF6C" w:sz="1"/>
            </w:tcBorders>
            <w:shd w:fill="2D2D44" w:val="clear"/>
            <w:tcMar>
              <w:top w:type="dxa" w:w="120"/>
              <w:left w:type="dxa" w:w="140"/>
              <w:bottom w:type="dxa" w:w="80"/>
              <w:right w:type="dxa" w:w="140"/>
            </w:tcMar>
          </w:tcPr>
          <w:p>
            <w:pPr>
              <w:jc w:val="center"/>
            </w:pPr>
            <w:r>
              <w:rPr>
                <w:rFonts w:ascii="Arial" w:cs="Arial" w:eastAsia="Arial" w:hAnsi="Arial"/>
                <w:b/>
                <w:bCs/>
                <w:color w:val="CAAF6C"/>
                <w:sz w:val="22"/>
                <w:szCs w:val="22"/>
              </w:rPr>
              <w:t xml:space="preserve">Adviser Starter</w:t>
            </w:r>
          </w:p>
        </w:tc>
        <w:tc>
          <w:tcPr>
            <w:tcW w:type="dxa" w:w="2340"/>
            <w:tcBorders>
              <w:top w:val="single" w:color="CAAF6C" w:sz="1"/>
              <w:left w:val="single" w:color="CAAF6C" w:sz="1"/>
              <w:bottom w:val="single" w:color="CAAF6C" w:sz="1"/>
              <w:right w:val="single" w:color="CAAF6C" w:sz="1"/>
            </w:tcBorders>
            <w:shd w:fill="1A1A2E" w:val="clear"/>
            <w:tcMar>
              <w:top w:type="dxa" w:w="120"/>
              <w:left w:type="dxa" w:w="140"/>
              <w:bottom w:type="dxa" w:w="80"/>
              <w:right w:type="dxa" w:w="140"/>
            </w:tcMar>
          </w:tcPr>
          <w:p>
            <w:pPr>
              <w:jc w:val="center"/>
            </w:pPr>
            <w:r>
              <w:rPr>
                <w:rFonts w:ascii="Arial" w:cs="Arial" w:eastAsia="Arial" w:hAnsi="Arial"/>
                <w:b/>
                <w:bCs/>
                <w:color w:val="CAAF6C"/>
                <w:sz w:val="22"/>
                <w:szCs w:val="22"/>
              </w:rPr>
              <w:t xml:space="preserve">Adviser Pro</w:t>
            </w:r>
          </w:p>
        </w:tc>
      </w:tr>
      <w:tr>
        <w:tc>
          <w:tcPr>
            <w:tcW w:type="dxa" w:w="2340"/>
            <w:tcBorders>
              <w:top w:val="single" w:color="CAAF6C" w:sz="1"/>
              <w:left w:val="single" w:color="CAAF6C" w:sz="1"/>
              <w:bottom w:val="single" w:color="CAAF6C" w:sz="1"/>
              <w:right w:val="single" w:color="CAAF6C" w:sz="1"/>
            </w:tcBorders>
            <w:shd w:fill="F0E8D0" w:val="clear"/>
            <w:tcMar>
              <w:top w:type="dxa" w:w="80"/>
              <w:left w:type="dxa" w:w="140"/>
              <w:bottom w:type="dxa" w:w="80"/>
              <w:right w:type="dxa" w:w="140"/>
            </w:tcMar>
          </w:tcPr>
          <w:p>
            <w:pPr>
              <w:jc w:val="center"/>
            </w:pPr>
            <w:r>
              <w:rPr>
                <w:rFonts w:ascii="Arial" w:cs="Arial" w:eastAsia="Arial" w:hAnsi="Arial"/>
                <w:b/>
                <w:bCs/>
                <w:color w:val="1A1A2E"/>
                <w:sz w:val="28"/>
                <w:szCs w:val="28"/>
              </w:rPr>
              <w:t xml:space="preserve">Free</w:t>
            </w:r>
          </w:p>
          <w:p>
            <w:pPr>
              <w:jc w:val="center"/>
            </w:pPr>
            <w:r>
              <w:rPr>
                <w:rFonts w:ascii="Arial" w:cs="Arial" w:eastAsia="Arial" w:hAnsi="Arial"/>
                <w:color w:val="4A4A6A"/>
                <w:sz w:val="16"/>
                <w:szCs w:val="16"/>
              </w:rPr>
              <w:t xml:space="preserve">Forever</w:t>
            </w:r>
          </w:p>
        </w:tc>
        <w:tc>
          <w:tcPr>
            <w:tcW w:type="dxa" w:w="2340"/>
            <w:tcBorders>
              <w:top w:val="single" w:color="CAAF6C" w:sz="1"/>
              <w:left w:val="single" w:color="CAAF6C" w:sz="1"/>
              <w:bottom w:val="single" w:color="CAAF6C" w:sz="1"/>
              <w:right w:val="single" w:color="CAAF6C" w:sz="1"/>
            </w:tcBorders>
            <w:shd w:fill="F0E8D0" w:val="clear"/>
            <w:tcMar>
              <w:top w:type="dxa" w:w="80"/>
              <w:left w:type="dxa" w:w="140"/>
              <w:bottom w:type="dxa" w:w="80"/>
              <w:right w:type="dxa" w:w="140"/>
            </w:tcMar>
          </w:tcPr>
          <w:p>
            <w:pPr>
              <w:jc w:val="center"/>
            </w:pPr>
            <w:r>
              <w:rPr>
                <w:rFonts w:ascii="Arial" w:cs="Arial" w:eastAsia="Arial" w:hAnsi="Arial"/>
                <w:b/>
                <w:bCs/>
                <w:color w:val="1A1A2E"/>
                <w:sz w:val="28"/>
                <w:szCs w:val="28"/>
              </w:rPr>
              <w:t xml:space="preserve">$29/mo</w:t>
            </w:r>
          </w:p>
          <w:p>
            <w:pPr>
              <w:jc w:val="center"/>
            </w:pPr>
            <w:r>
              <w:rPr>
                <w:rFonts w:ascii="Arial" w:cs="Arial" w:eastAsia="Arial" w:hAnsi="Arial"/>
                <w:color w:val="4A4A6A"/>
                <w:sz w:val="16"/>
                <w:szCs w:val="16"/>
              </w:rPr>
              <w:t xml:space="preserve">$23/mo annual</w:t>
            </w:r>
          </w:p>
        </w:tc>
        <w:tc>
          <w:tcPr>
            <w:tcW w:type="dxa" w:w="2340"/>
            <w:tcBorders>
              <w:top w:val="single" w:color="CAAF6C" w:sz="1"/>
              <w:left w:val="single" w:color="CAAF6C" w:sz="1"/>
              <w:bottom w:val="single" w:color="CAAF6C" w:sz="1"/>
              <w:right w:val="single" w:color="CAAF6C" w:sz="1"/>
            </w:tcBorders>
            <w:shd w:fill="F0E8D0" w:val="clear"/>
            <w:tcMar>
              <w:top w:type="dxa" w:w="80"/>
              <w:left w:type="dxa" w:w="140"/>
              <w:bottom w:type="dxa" w:w="80"/>
              <w:right w:type="dxa" w:w="140"/>
            </w:tcMar>
          </w:tcPr>
          <w:p>
            <w:pPr>
              <w:jc w:val="center"/>
            </w:pPr>
            <w:r>
              <w:rPr>
                <w:rFonts w:ascii="Arial" w:cs="Arial" w:eastAsia="Arial" w:hAnsi="Arial"/>
                <w:b/>
                <w:bCs/>
                <w:color w:val="1A1A2E"/>
                <w:sz w:val="28"/>
                <w:szCs w:val="28"/>
              </w:rPr>
              <w:t xml:space="preserve">$99/mo</w:t>
            </w:r>
          </w:p>
          <w:p>
            <w:pPr>
              <w:jc w:val="center"/>
            </w:pPr>
            <w:r>
              <w:rPr>
                <w:rFonts w:ascii="Arial" w:cs="Arial" w:eastAsia="Arial" w:hAnsi="Arial"/>
                <w:color w:val="4A4A6A"/>
                <w:sz w:val="16"/>
                <w:szCs w:val="16"/>
              </w:rPr>
              <w:t xml:space="preserve">$79/mo annual</w:t>
            </w:r>
          </w:p>
        </w:tc>
        <w:tc>
          <w:tcPr>
            <w:tcW w:type="dxa" w:w="2340"/>
            <w:tcBorders>
              <w:top w:val="single" w:color="CAAF6C" w:sz="1"/>
              <w:left w:val="single" w:color="CAAF6C" w:sz="1"/>
              <w:bottom w:val="single" w:color="CAAF6C" w:sz="1"/>
              <w:right w:val="single" w:color="CAAF6C" w:sz="1"/>
            </w:tcBorders>
            <w:shd w:fill="F0E8D0" w:val="clear"/>
            <w:tcMar>
              <w:top w:type="dxa" w:w="80"/>
              <w:left w:type="dxa" w:w="140"/>
              <w:bottom w:type="dxa" w:w="80"/>
              <w:right w:type="dxa" w:w="140"/>
            </w:tcMar>
          </w:tcPr>
          <w:p>
            <w:pPr>
              <w:jc w:val="center"/>
            </w:pPr>
            <w:r>
              <w:rPr>
                <w:rFonts w:ascii="Arial" w:cs="Arial" w:eastAsia="Arial" w:hAnsi="Arial"/>
                <w:b/>
                <w:bCs/>
                <w:color w:val="1A1A2E"/>
                <w:sz w:val="28"/>
                <w:szCs w:val="28"/>
              </w:rPr>
              <w:t xml:space="preserve">$199/mo</w:t>
            </w:r>
          </w:p>
          <w:p>
            <w:pPr>
              <w:jc w:val="center"/>
            </w:pPr>
            <w:r>
              <w:rPr>
                <w:rFonts w:ascii="Arial" w:cs="Arial" w:eastAsia="Arial" w:hAnsi="Arial"/>
                <w:color w:val="4A4A6A"/>
                <w:sz w:val="16"/>
                <w:szCs w:val="16"/>
              </w:rPr>
              <w:t xml:space="preserve">$159/mo annual</w:t>
            </w:r>
          </w:p>
        </w:tc>
      </w:tr>
      <w:tr>
        <w:tc>
          <w:tcPr>
            <w:tcW w:type="dxa" w:w="2340"/>
            <w:tcBorders>
              <w:top w:val="single" w:color="CAAF6C" w:sz="1"/>
              <w:left w:val="single" w:color="CAAF6C" w:sz="1"/>
              <w:bottom w:val="single" w:color="CAAF6C" w:sz="1"/>
              <w:right w:val="single" w:color="CAAF6C" w:sz="1"/>
            </w:tcBorders>
            <w:shd w:fill="F4F4F8" w:val="clear"/>
            <w:tcMar>
              <w:top w:type="dxa" w:w="80"/>
              <w:left w:type="dxa" w:w="140"/>
              <w:bottom w:type="dxa" w:w="80"/>
              <w:right w:type="dxa" w:w="140"/>
            </w:tcMar>
          </w:tcPr>
          <w:p>
            <w:pPr>
              <w:jc w:val="center"/>
            </w:pPr>
            <w:r>
              <w:rPr>
                <w:rFonts w:ascii="Arial" w:cs="Arial" w:eastAsia="Arial" w:hAnsi="Arial"/>
                <w:i/>
                <w:iCs/>
                <w:color w:val="4A4A6A"/>
                <w:sz w:val="18"/>
                <w:szCs w:val="18"/>
              </w:rPr>
              <w:t xml:space="preserve">Anyone</w:t>
            </w:r>
          </w:p>
        </w:tc>
        <w:tc>
          <w:tcPr>
            <w:tcW w:type="dxa" w:w="2340"/>
            <w:tcBorders>
              <w:top w:val="single" w:color="CAAF6C" w:sz="1"/>
              <w:left w:val="single" w:color="CAAF6C" w:sz="1"/>
              <w:bottom w:val="single" w:color="CAAF6C" w:sz="1"/>
              <w:right w:val="single" w:color="CAAF6C" w:sz="1"/>
            </w:tcBorders>
            <w:shd w:fill="FFFFFF" w:val="clear"/>
            <w:tcMar>
              <w:top w:type="dxa" w:w="80"/>
              <w:left w:type="dxa" w:w="140"/>
              <w:bottom w:type="dxa" w:w="80"/>
              <w:right w:type="dxa" w:w="140"/>
            </w:tcMar>
          </w:tcPr>
          <w:p>
            <w:pPr>
              <w:jc w:val="center"/>
            </w:pPr>
            <w:r>
              <w:rPr>
                <w:rFonts w:ascii="Arial" w:cs="Arial" w:eastAsia="Arial" w:hAnsi="Arial"/>
                <w:i/>
                <w:iCs/>
                <w:color w:val="4A4A6A"/>
                <w:sz w:val="18"/>
                <w:szCs w:val="18"/>
              </w:rPr>
              <w:t xml:space="preserve">Investors</w:t>
            </w:r>
          </w:p>
        </w:tc>
        <w:tc>
          <w:tcPr>
            <w:tcW w:type="dxa" w:w="2340"/>
            <w:tcBorders>
              <w:top w:val="single" w:color="CAAF6C" w:sz="1"/>
              <w:left w:val="single" w:color="CAAF6C" w:sz="1"/>
              <w:bottom w:val="single" w:color="CAAF6C" w:sz="1"/>
              <w:right w:val="single" w:color="CAAF6C" w:sz="1"/>
            </w:tcBorders>
            <w:shd w:fill="F4F4F8" w:val="clear"/>
            <w:tcMar>
              <w:top w:type="dxa" w:w="80"/>
              <w:left w:type="dxa" w:w="140"/>
              <w:bottom w:type="dxa" w:w="80"/>
              <w:right w:type="dxa" w:w="140"/>
            </w:tcMar>
          </w:tcPr>
          <w:p>
            <w:pPr>
              <w:jc w:val="center"/>
            </w:pPr>
            <w:r>
              <w:rPr>
                <w:rFonts w:ascii="Arial" w:cs="Arial" w:eastAsia="Arial" w:hAnsi="Arial"/>
                <w:i/>
                <w:iCs/>
                <w:color w:val="4A4A6A"/>
                <w:sz w:val="18"/>
                <w:szCs w:val="18"/>
              </w:rPr>
              <w:t xml:space="preserve">Independent agents</w:t>
            </w:r>
          </w:p>
        </w:tc>
        <w:tc>
          <w:tcPr>
            <w:tcW w:type="dxa" w:w="2340"/>
            <w:tcBorders>
              <w:top w:val="single" w:color="CAAF6C" w:sz="1"/>
              <w:left w:val="single" w:color="CAAF6C" w:sz="1"/>
              <w:bottom w:val="single" w:color="CAAF6C" w:sz="1"/>
              <w:right w:val="single" w:color="CAAF6C" w:sz="1"/>
            </w:tcBorders>
            <w:shd w:fill="FFFFFF" w:val="clear"/>
            <w:tcMar>
              <w:top w:type="dxa" w:w="80"/>
              <w:left w:type="dxa" w:w="140"/>
              <w:bottom w:type="dxa" w:w="80"/>
              <w:right w:type="dxa" w:w="140"/>
            </w:tcMar>
          </w:tcPr>
          <w:p>
            <w:pPr>
              <w:jc w:val="center"/>
            </w:pPr>
            <w:r>
              <w:rPr>
                <w:rFonts w:ascii="Arial" w:cs="Arial" w:eastAsia="Arial" w:hAnsi="Arial"/>
                <w:i/>
                <w:iCs/>
                <w:color w:val="4A4A6A"/>
                <w:sz w:val="18"/>
                <w:szCs w:val="18"/>
              </w:rPr>
              <w:t xml:space="preserve">Active advisers</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3.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1665"/>
        <w:gridCol w:w="1665"/>
        <w:gridCol w:w="1665"/>
      </w:tblGrid>
      <w:tr>
        <w:trPr>
          <w:tblHeader/>
        </w:trPr>
        <w:tc>
          <w:tcPr>
            <w:tcW w:type="dxa" w:w="27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Plan</w:t>
            </w:r>
          </w:p>
        </w:tc>
        <w:tc>
          <w:tcPr>
            <w:tcW w:type="dxa" w:w="1665"/>
            <w:tcBorders>
              <w:top w:val="single" w:color="2D2D44" w:sz="1"/>
              <w:left w:val="single" w:color="2D2D44" w:sz="1"/>
              <w:bottom w:val="single" w:color="2D2D44" w:sz="1"/>
              <w:right w:val="single" w:color="2D2D44" w:sz="1"/>
            </w:tcBorders>
            <w:shd w:fill="2D2D44"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Explorer</w:t>
            </w:r>
          </w:p>
        </w:tc>
        <w:tc>
          <w:tcPr>
            <w:tcW w:type="dxa" w:w="1665"/>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Portfolio Pro</w:t>
            </w:r>
          </w:p>
        </w:tc>
        <w:tc>
          <w:tcPr>
            <w:tcW w:type="dxa" w:w="1665"/>
            <w:tcBorders>
              <w:top w:val="single" w:color="2D2D44" w:sz="1"/>
              <w:left w:val="single" w:color="2D2D44" w:sz="1"/>
              <w:bottom w:val="single" w:color="2D2D44" w:sz="1"/>
              <w:right w:val="single" w:color="2D2D44" w:sz="1"/>
            </w:tcBorders>
            <w:shd w:fill="2D2D44"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Adviser Starter</w:t>
            </w:r>
          </w:p>
        </w:tc>
        <w:tc>
          <w:tcPr>
            <w:tcW w:type="dxa" w:w="1665"/>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Adviser Pro</w:t>
            </w:r>
          </w:p>
        </w:tc>
      </w:tr>
      <w:tr>
        <w:tc>
          <w:tcPr>
            <w:tcW w:type="dxa" w:w="27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Monthly Price</w:t>
            </w:r>
          </w:p>
        </w:tc>
        <w:tc>
          <w:tcPr>
            <w:tcW w:type="dxa" w:w="1665"/>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2"/>
                <w:szCs w:val="22"/>
              </w:rPr>
              <w:t xml:space="preserve">Free</w:t>
            </w:r>
          </w:p>
        </w:tc>
        <w:tc>
          <w:tcPr>
            <w:tcW w:type="dxa" w:w="1665"/>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2"/>
                <w:szCs w:val="22"/>
              </w:rPr>
              <w:t xml:space="preserve">$29/mo</w:t>
            </w:r>
          </w:p>
        </w:tc>
        <w:tc>
          <w:tcPr>
            <w:tcW w:type="dxa" w:w="1665"/>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2"/>
                <w:szCs w:val="22"/>
              </w:rPr>
              <w:t xml:space="preserve">$99/mo</w:t>
            </w:r>
          </w:p>
        </w:tc>
        <w:tc>
          <w:tcPr>
            <w:tcW w:type="dxa" w:w="1665"/>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2"/>
                <w:szCs w:val="22"/>
              </w:rPr>
              <w:t xml:space="preserve">$199/mo</w:t>
            </w:r>
          </w:p>
        </w:tc>
      </w:tr>
      <w:tr>
        <w:tc>
          <w:tcPr>
            <w:tcW w:type="dxa" w:w="27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Annual Price (save 20%)</w:t>
            </w:r>
          </w:p>
        </w:tc>
        <w:tc>
          <w:tcPr>
            <w:tcW w:type="dxa" w:w="1665"/>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Free</w:t>
            </w:r>
          </w:p>
        </w:tc>
        <w:tc>
          <w:tcPr>
            <w:tcW w:type="dxa" w:w="1665"/>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$23/mo ($276/yr)</w:t>
            </w:r>
          </w:p>
        </w:tc>
        <w:tc>
          <w:tcPr>
            <w:tcW w:type="dxa" w:w="1665"/>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$79/mo ($948/yr)</w:t>
            </w:r>
          </w:p>
        </w:tc>
        <w:tc>
          <w:tcPr>
            <w:tcW w:type="dxa" w:w="1665"/>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$159/mo ($1,908/yr)</w:t>
            </w:r>
          </w:p>
        </w:tc>
      </w:tr>
      <w:tr>
        <w:tc>
          <w:tcPr>
            <w:tcW w:type="dxa" w:w="27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30-Day Free Trial</w:t>
            </w:r>
          </w:p>
        </w:tc>
        <w:tc>
          <w:tcPr>
            <w:tcW w:type="dxa" w:w="1665"/>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BBBBBB"/>
                <w:sz w:val="20"/>
                <w:szCs w:val="20"/>
              </w:rPr>
              <w:t xml:space="preserve">—</w:t>
            </w:r>
          </w:p>
        </w:tc>
        <w:tc>
          <w:tcPr>
            <w:tcW w:type="dxa" w:w="1665"/>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BBBBBB"/>
                <w:sz w:val="20"/>
                <w:szCs w:val="20"/>
              </w:rPr>
              <w:t xml:space="preserve">—</w:t>
            </w:r>
          </w:p>
        </w:tc>
        <w:tc>
          <w:tcPr>
            <w:tcW w:type="dxa" w:w="3330"/>
            <w:gridSpan w:val="2"/>
            <w:tcBorders>
              <w:top w:val="single" w:color="CAAF6C" w:sz="1"/>
              <w:left w:val="single" w:color="CAAF6C" w:sz="1"/>
              <w:bottom w:val="single" w:color="CAAF6C" w:sz="1"/>
              <w:right w:val="single" w:color="CAAF6C" w:sz="1"/>
            </w:tcBorders>
            <w:shd w:fill="1A1A2E" w:val="clear"/>
            <w:tcMar>
              <w:top w:type="dxa" w:w="80"/>
              <w:left w:type="dxa" w:w="140"/>
              <w:bottom w:type="dxa" w:w="80"/>
              <w:right w:type="dxa" w:w="140"/>
            </w:tcMar>
          </w:tcPr>
          <w:p>
            <w:pPr>
              <w:jc w:val="center"/>
            </w:pPr>
            <w:r>
              <w:rPr>
                <w:rFonts w:ascii="Arial" w:cs="Arial" w:eastAsia="Arial" w:hAnsi="Arial"/>
                <w:i/>
                <w:iCs/>
                <w:color w:val="CAAF6C"/>
                <w:sz w:val="18"/>
                <w:szCs w:val="18"/>
              </w:rPr>
              <w:t xml:space="preserve">All new advisers get 30 days free on Adviser Pro — full features including Reelly. No credit card required to start.</w:t>
            </w:r>
          </w:p>
        </w:tc>
      </w:tr>
      <w:tr>
        <w:tc>
          <w:tcPr>
            <w:tcW w:type="dxa" w:w="27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Best For</w:t>
            </w:r>
          </w:p>
        </w:tc>
        <w:tc>
          <w:tcPr>
            <w:tcW w:type="dxa" w:w="1665"/>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7"/>
                <w:szCs w:val="17"/>
              </w:rPr>
              <w:t xml:space="preserve">Researchers &amp; casual users</w:t>
            </w:r>
          </w:p>
        </w:tc>
        <w:tc>
          <w:tcPr>
            <w:tcW w:type="dxa" w:w="1665"/>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7"/>
                <w:szCs w:val="17"/>
              </w:rPr>
              <w:t xml:space="preserve">Property investors</w:t>
            </w:r>
          </w:p>
        </w:tc>
        <w:tc>
          <w:tcPr>
            <w:tcW w:type="dxa" w:w="1665"/>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7"/>
                <w:szCs w:val="17"/>
              </w:rPr>
              <w:t xml:space="preserve">New advisers &amp; solo agents</w:t>
            </w:r>
          </w:p>
        </w:tc>
        <w:tc>
          <w:tcPr>
            <w:tcW w:type="dxa" w:w="1665"/>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7"/>
                <w:szCs w:val="17"/>
              </w:rPr>
              <w:t xml:space="preserve">Active advisers with client books</w:t>
            </w:r>
          </w:p>
        </w:tc>
      </w:tr>
    </w:tbl>
    <w:p>
      <w:pPr>
        <w:spacing w:after="0" w:before="80"/>
      </w:pPr>
      <w:r>
        <w:t xml:space="preserve"/>
      </w:r>
    </w:p>
    <w:p>
      <w:pPr>
        <w:spacing w:after="60" w:before="60"/>
      </w:pPr>
      <w:r>
        <w:rPr>
          <w:rFonts w:ascii="Arial" w:cs="Arial" w:eastAsia="Arial" w:hAnsi="Arial"/>
          <w:b w:val="false"/>
          <w:bCs w:val="false"/>
          <w:i w:val="false"/>
          <w:iCs w:val="false"/>
          <w:color w:val="1A1A2E"/>
          <w:sz w:val="20"/>
          <w:szCs w:val="20"/>
        </w:rPr>
        <w:t xml:space="preserve">All prices are in USD. Annual billing saves 20% and is offered at checkout alongside the monthly option. The 30-day free trial for adviser plans requires no payment method upfront — advisers add billing details at the end of the trial when they choose their tier.</w:t>
      </w:r>
    </w:p>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4. Plan Details</w:t>
      </w:r>
    </w:p>
    <w:p>
      <w:pPr>
        <w:pStyle w:val="Heading2"/>
        <w:spacing w:after="120" w:before="240"/>
      </w:pPr>
      <w:r>
        <w:rPr>
          <w:rFonts w:ascii="Arial" w:cs="Arial" w:eastAsia="Arial" w:hAnsi="Arial"/>
          <w:b/>
          <w:bCs/>
          <w:color w:val="2D2D44"/>
          <w:sz w:val="26"/>
          <w:szCs w:val="26"/>
        </w:rPr>
        <w:t xml:space="preserve">4.1 Explorer —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D2D44" w:sz="1"/>
              <w:left w:val="single" w:color="2D2D44" w:sz="1"/>
              <w:bottom w:val="single" w:color="2D2D44" w:sz="1"/>
              <w:right w:val="single" w:color="2D2D44" w:sz="1"/>
            </w:tcBorders>
            <w:shd w:fill="2D2D44"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Tier</w:t>
            </w:r>
          </w:p>
        </w:tc>
        <w:tc>
          <w:tcPr>
            <w:tcW w:type="dxa" w:w="7560"/>
            <w:tcBorders>
              <w:top w:val="single" w:color="2D2D44" w:sz="1"/>
              <w:left w:val="single" w:color="2D2D44" w:sz="1"/>
              <w:bottom w:val="single" w:color="2D2D44" w:sz="1"/>
              <w:right w:val="single" w:color="2D2D44" w:sz="1"/>
            </w:tcBorders>
            <w:shd w:fill="2D2D44"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Explorer — Free Forever</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Target</w:t>
            </w:r>
          </w:p>
        </w:tc>
        <w:tc>
          <w:tcPr>
            <w:tcW w:type="dxa" w:w="7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Any person interested in real estate — investors, buyers, journalists, students, researchers</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Price</w:t>
            </w:r>
          </w:p>
        </w:tc>
        <w:tc>
          <w:tcPr>
            <w:tcW w:type="dxa" w:w="7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20"/>
                <w:szCs w:val="20"/>
              </w:rPr>
              <w:t xml:space="preserve">$0 — permanently free, no account required for basic browsing</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Core Value</w:t>
            </w:r>
          </w:p>
        </w:tc>
        <w:tc>
          <w:tcPr>
            <w:tcW w:type="dxa" w:w="7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Full market research: 5-mode heatmap, DLD transaction search, area price history, developer project listings, basic Reelly.ai data, WhatsApp agent contact buttons</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Why Free</w:t>
            </w:r>
          </w:p>
        </w:tc>
        <w:tc>
          <w:tcPr>
            <w:tcW w:type="dxa" w:w="756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Removes the switching cost from DXBinteract. Every Explorer user is a potential Portfolio Pro subscriber or an investor who will be referred by an Adviser subscriber.</w:t>
            </w:r>
          </w:p>
        </w:tc>
      </w:tr>
    </w:tbl>
    <w:p>
      <w:pPr>
        <w:spacing w:after="0" w:before="120"/>
      </w:pPr>
      <w:r>
        <w:t xml:space="preserve"/>
      </w:r>
    </w:p>
    <w:p>
      <w:pPr>
        <w:pStyle w:val="Heading2"/>
        <w:spacing w:after="120" w:before="240"/>
      </w:pPr>
      <w:r>
        <w:rPr>
          <w:rFonts w:ascii="Arial" w:cs="Arial" w:eastAsia="Arial" w:hAnsi="Arial"/>
          <w:b/>
          <w:bCs/>
          <w:color w:val="2D2D44"/>
          <w:sz w:val="26"/>
          <w:szCs w:val="26"/>
        </w:rPr>
        <w:t xml:space="preserve">4.2 Portfolio Pro — $29/month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Tier</w:t>
            </w:r>
          </w:p>
        </w:tc>
        <w:tc>
          <w:tcPr>
            <w:tcW w:type="dxa" w:w="756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Portfolio Pro — $29/month ($23/mo annual)</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Target</w:t>
            </w:r>
          </w:p>
        </w:tc>
        <w:tc>
          <w:tcPr>
            <w:tcW w:type="dxa" w:w="7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Individual property investors who own or are buying real estate and want to track performance</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Price</w:t>
            </w:r>
          </w:p>
        </w:tc>
        <w:tc>
          <w:tcPr>
            <w:tcW w:type="dxa" w:w="7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$29/month — less than a streaming subscription, tracking assets worth hundreds of thousands of dollars</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Includes</w:t>
            </w:r>
          </w:p>
        </w:tc>
        <w:tc>
          <w:tcPr>
            <w:tcW w:type="dxa" w:w="7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Portfolio tracker, title deed upload &amp; validation, live P&amp;L, ROI &amp; yield calculator, AI Concierge (property Q&amp;A), all Explorer features</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Upgrade Trigger</w:t>
            </w:r>
          </w:p>
        </w:tc>
        <w:tc>
          <w:tcPr>
            <w:tcW w:type="dxa" w:w="756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Shown contextually when Explorer users try to add a property to their portfolio. The CTA is: 'Track your investment for $29/month — that is less than 0.01% of the property value per year.'</w:t>
            </w:r>
          </w:p>
        </w:tc>
      </w:tr>
    </w:tbl>
    <w:p>
      <w:pPr>
        <w:spacing w:after="0" w:before="120"/>
      </w:pPr>
      <w:r>
        <w:t xml:space="preserve"/>
      </w:r>
    </w:p>
    <w:p>
      <w:pPr>
        <w:pStyle w:val="Heading2"/>
        <w:spacing w:after="120" w:before="240"/>
      </w:pPr>
      <w:r>
        <w:rPr>
          <w:rFonts w:ascii="Arial" w:cs="Arial" w:eastAsia="Arial" w:hAnsi="Arial"/>
          <w:b/>
          <w:bCs/>
          <w:color w:val="2D2D44"/>
          <w:sz w:val="26"/>
          <w:szCs w:val="26"/>
        </w:rPr>
        <w:t xml:space="preserve">4.3 Adviser Starter — $99/month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D2D44" w:sz="1"/>
              <w:left w:val="single" w:color="2D2D44" w:sz="1"/>
              <w:bottom w:val="single" w:color="2D2D44" w:sz="1"/>
              <w:right w:val="single" w:color="2D2D44" w:sz="1"/>
            </w:tcBorders>
            <w:shd w:fill="2D2D44"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Tier</w:t>
            </w:r>
          </w:p>
        </w:tc>
        <w:tc>
          <w:tcPr>
            <w:tcW w:type="dxa" w:w="7560"/>
            <w:tcBorders>
              <w:top w:val="single" w:color="2D2D44" w:sz="1"/>
              <w:left w:val="single" w:color="2D2D44" w:sz="1"/>
              <w:bottom w:val="single" w:color="2D2D44" w:sz="1"/>
              <w:right w:val="single" w:color="2D2D44" w:sz="1"/>
            </w:tcBorders>
            <w:shd w:fill="2D2D44"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Adviser Starter — $99/month ($79/mo annual)</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Target</w:t>
            </w:r>
          </w:p>
        </w:tc>
        <w:tc>
          <w:tcPr>
            <w:tcW w:type="dxa" w:w="7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Independent agents and new advisers who have a small investor client base and want a professional branded platform</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Client Limit</w:t>
            </w:r>
          </w:p>
        </w:tc>
        <w:tc>
          <w:tcPr>
            <w:tcW w:type="dxa" w:w="7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Up to 10 managed investor accounts</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Includes</w:t>
            </w:r>
          </w:p>
        </w:tc>
        <w:tc>
          <w:tcPr>
            <w:tcW w:type="dxa" w:w="7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Branded subdomain (name.realsight.app), custom brand colour &amp; logo, investor admin dashboard, Monthly Picks publishing, WhatsApp share &amp; enquiry buttons on all listings, AI Concierge with custom persona, all Explorer features for adviser and all clients</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Does NOT Include</w:t>
            </w:r>
          </w:p>
        </w:tc>
        <w:tc>
          <w:tcPr>
            <w:tcW w:type="dxa" w:w="7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C0392B"/>
                <w:sz w:val="20"/>
                <w:szCs w:val="20"/>
              </w:rPr>
              <w:t xml:space="preserve">Reelly.ai full off-plan listings and AI Market Analysis per project — those are Pro-only</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Trial</w:t>
            </w:r>
          </w:p>
        </w:tc>
        <w:tc>
          <w:tcPr>
            <w:tcW w:type="dxa" w:w="756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30-day free trial on Adviser Pro. After the trial, adviser chooses Starter or Pro.</w:t>
            </w:r>
          </w:p>
        </w:tc>
      </w:tr>
    </w:tbl>
    <w:p>
      <w:pPr>
        <w:spacing w:after="0" w:before="120"/>
      </w:pPr>
      <w:r>
        <w:t xml:space="preserve"/>
      </w:r>
    </w:p>
    <w:p>
      <w:pPr>
        <w:pStyle w:val="Heading2"/>
        <w:spacing w:after="120" w:before="240"/>
      </w:pPr>
      <w:r>
        <w:rPr>
          <w:rFonts w:ascii="Arial" w:cs="Arial" w:eastAsia="Arial" w:hAnsi="Arial"/>
          <w:b/>
          <w:bCs/>
          <w:color w:val="2D2D44"/>
          <w:sz w:val="26"/>
          <w:szCs w:val="26"/>
        </w:rPr>
        <w:t xml:space="preserve">4.4 Adviser Pro — $199/month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Tier</w:t>
            </w:r>
          </w:p>
        </w:tc>
        <w:tc>
          <w:tcPr>
            <w:tcW w:type="dxa" w:w="756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Adviser Pro — $199/month ($159/mo annual)</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Target</w:t>
            </w:r>
          </w:p>
        </w:tc>
        <w:tc>
          <w:tcPr>
            <w:tcW w:type="dxa" w:w="7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Active advisers with an established client book who want to lead with off-plan investment analysis and data-backed recommendations</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Client Limit</w:t>
            </w:r>
          </w:p>
        </w:tc>
        <w:tc>
          <w:tcPr>
            <w:tcW w:type="dxa" w:w="7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Up to 50 managed investor accounts</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Includes</w:t>
            </w:r>
          </w:p>
        </w:tc>
        <w:tc>
          <w:tcPr>
            <w:tcW w:type="dxa" w:w="7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Everything in Adviser Starter, PLUS: full Reelly.ai off-plan listings with launch calendar and commission data, AI Market Analysis button per project, off-plan area supply pipeline data</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Key Differentiator</w:t>
            </w:r>
          </w:p>
        </w:tc>
        <w:tc>
          <w:tcPr>
            <w:tcW w:type="dxa" w:w="756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The AI Off-Plan Market Analysis is the primary reason to upgrade from Starter. It gives advisers an instant, data-backed investment brief for any project — shareable directly to investors via WhatsApp.</w:t>
            </w:r>
          </w:p>
        </w:tc>
      </w:tr>
      <w:tr>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Trial</w:t>
            </w:r>
          </w:p>
        </w:tc>
        <w:tc>
          <w:tcPr>
            <w:tcW w:type="dxa" w:w="7560"/>
            <w:gridSpan w:val="1"/>
            <w:tcBorders>
              <w:top w:val="single" w:color="DDDDE8" w:sz="1"/>
              <w:left w:val="single" w:color="DDDDE8" w:sz="1"/>
              <w:bottom w:val="single" w:color="DDDDE8" w:sz="1"/>
              <w:right w:val="single" w:color="DDDDE8"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CAAF6C"/>
                <w:sz w:val="20"/>
                <w:szCs w:val="20"/>
              </w:rPr>
              <w:t xml:space="preserve">All new advisers start here on their 30-day free trial — full Pro features from day one.</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5. Flagship Feature — AI Off-Plan Market Analysis</w:t>
      </w:r>
    </w:p>
    <w:p>
      <w:pPr>
        <w:spacing w:after="60" w:before="60"/>
      </w:pPr>
      <w:r>
        <w:rPr>
          <w:rFonts w:ascii="Arial" w:cs="Arial" w:eastAsia="Arial" w:hAnsi="Arial"/>
          <w:b w:val="false"/>
          <w:bCs w:val="false"/>
          <w:i w:val="false"/>
          <w:iCs w:val="false"/>
          <w:color w:val="1A1A2E"/>
          <w:sz w:val="20"/>
          <w:szCs w:val="20"/>
        </w:rPr>
        <w:t xml:space="preserve">This is the feature that makes Adviser Pro worth $199/month and has no equivalent anywhere in the market. It is the core reason an adviser on the Starter plan upgrades.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AF6C" w:sz="1"/>
              <w:left w:val="single" w:color="CAAF6C" w:sz="1"/>
              <w:bottom w:val="single" w:color="CAAF6C" w:sz="1"/>
              <w:right w:val="single" w:color="CAAF6C" w:sz="1"/>
            </w:tcBorders>
            <w:shd w:fill="1A1A2E" w:val="clear"/>
            <w:tcMar>
              <w:top w:type="dxa" w:w="180"/>
              <w:left w:type="dxa" w:w="240"/>
              <w:bottom w:type="dxa" w:w="180"/>
              <w:right w:type="dxa" w:w="240"/>
            </w:tcMar>
          </w:tcPr>
          <w:p>
            <w:pPr>
              <w:jc w:val="center"/>
            </w:pPr>
            <w:r>
              <w:rPr>
                <w:rFonts w:ascii="Arial" w:cs="Arial" w:eastAsia="Arial" w:hAnsi="Arial"/>
                <w:b/>
                <w:bCs/>
                <w:color w:val="CAAF6C"/>
                <w:sz w:val="22"/>
                <w:szCs w:val="22"/>
              </w:rPr>
              <w:t xml:space="preserve">AI OFF-PLAN MARKET ANALYSIS — Adviser Pro Feature</w:t>
            </w:r>
          </w:p>
          <w:p>
            <w:pPr>
              <w:spacing w:after="0" w:before="80"/>
            </w:pPr>
            <w:r>
              <w:t xml:space="preserve"/>
            </w:r>
          </w:p>
          <w:p>
            <w:r>
              <w:rPr>
                <w:rFonts w:ascii="Arial" w:cs="Arial" w:eastAsia="Arial" w:hAnsi="Arial"/>
                <w:color w:val="FFFFFF"/>
                <w:sz w:val="19"/>
                <w:szCs w:val="19"/>
              </w:rPr>
              <w:t xml:space="preserve">Every off-plan project card in the Adviser Pro view includes an 'Analyse Market' button. When clicked, the AI pulls real-time context from RealSight's data layer and returns a structured investment brief in seconds.</w:t>
            </w:r>
          </w:p>
          <w:p>
            <w:pPr>
              <w:spacing w:after="0" w:before="60"/>
            </w:pPr>
            <w:r>
              <w:t xml:space="preserve"/>
            </w:r>
          </w:p>
          <w:p>
            <w:r>
              <w:rPr>
                <w:rFonts w:ascii="Arial" w:cs="Arial" w:eastAsia="Arial" w:hAnsi="Arial"/>
                <w:b/>
                <w:bCs/>
                <w:color w:val="CAAF6C"/>
                <w:sz w:val="19"/>
                <w:szCs w:val="19"/>
              </w:rPr>
              <w:t xml:space="preserve">The analysis covers:</w:t>
            </w:r>
          </w:p>
          <w:p>
            <w:r>
              <w:rPr>
                <w:rFonts w:ascii="Arial" w:cs="Arial" w:eastAsia="Arial" w:hAnsi="Arial"/>
                <w:color w:val="FFFFFF"/>
                <w:sz w:val="18"/>
                <w:szCs w:val="18"/>
              </w:rPr>
              <w:t xml:space="preserve">  Area price trend — last 12 months of DLD transactions for the project's sub-district, showing price per sqft trajectory and supply/absorption rate</w:t>
            </w:r>
          </w:p>
          <w:p>
            <w:r>
              <w:rPr>
                <w:rFonts w:ascii="Arial" w:cs="Arial" w:eastAsia="Arial" w:hAnsi="Arial"/>
                <w:color w:val="FFFFFF"/>
                <w:sz w:val="18"/>
                <w:szCs w:val="18"/>
              </w:rPr>
              <w:t xml:space="preserve">  Comparable transactions — recent off-plan and secondary sales in the same area at similar price points</w:t>
            </w:r>
          </w:p>
          <w:p>
            <w:r>
              <w:rPr>
                <w:rFonts w:ascii="Arial" w:cs="Arial" w:eastAsia="Arial" w:hAnsi="Arial"/>
                <w:color w:val="FFFFFF"/>
                <w:sz w:val="18"/>
                <w:szCs w:val="18"/>
              </w:rPr>
              <w:t xml:space="preserve">  Yield context — average gross rental yield for the area vs. Dubai-wide benchmark</w:t>
            </w:r>
          </w:p>
          <w:p>
            <w:r>
              <w:rPr>
                <w:rFonts w:ascii="Arial" w:cs="Arial" w:eastAsia="Arial" w:hAnsi="Arial"/>
                <w:color w:val="FFFFFF"/>
                <w:sz w:val="18"/>
                <w:szCs w:val="18"/>
              </w:rPr>
              <w:t xml:space="preserve">  Pipeline risk — number of other projects launching in the same area in the next 6 months (from Reelly launch calendar)</w:t>
            </w:r>
          </w:p>
          <w:p>
            <w:r>
              <w:rPr>
                <w:rFonts w:ascii="Arial" w:cs="Arial" w:eastAsia="Arial" w:hAnsi="Arial"/>
                <w:color w:val="FFFFFF"/>
                <w:sz w:val="18"/>
                <w:szCs w:val="18"/>
              </w:rPr>
              <w:t xml:space="preserve">  Summary verdict — one-paragraph AI recommendation: Strong Buy / Consider / Caution with reasoning</w:t>
            </w:r>
          </w:p>
          <w:p>
            <w:pPr>
              <w:spacing w:after="0" w:before="60"/>
            </w:pPr>
            <w:r>
              <w:t xml:space="preserve"/>
            </w:r>
          </w:p>
          <w:p>
            <w:r>
              <w:rPr>
                <w:rFonts w:ascii="Arial" w:cs="Arial" w:eastAsia="Arial" w:hAnsi="Arial"/>
                <w:i/>
                <w:iCs/>
                <w:color w:val="CAAF6C"/>
                <w:sz w:val="18"/>
                <w:szCs w:val="18"/>
              </w:rPr>
              <w:t xml:space="preserve">Output is shareable — advisers can send the analysis to investors via WhatsApp or email directly from the project card.</w:t>
            </w:r>
          </w:p>
        </w:tc>
      </w:tr>
    </w:tbl>
    <w:p>
      <w:pPr>
        <w:spacing w:after="0" w:before="80"/>
      </w:pPr>
      <w:r>
        <w:t xml:space="preserve"/>
      </w:r>
    </w:p>
    <w:p>
      <w:pPr>
        <w:pStyle w:val="Heading2"/>
        <w:spacing w:after="120" w:before="240"/>
      </w:pPr>
      <w:r>
        <w:rPr>
          <w:rFonts w:ascii="Arial" w:cs="Arial" w:eastAsia="Arial" w:hAnsi="Arial"/>
          <w:b/>
          <w:bCs/>
          <w:color w:val="2D2D44"/>
          <w:sz w:val="26"/>
          <w:szCs w:val="26"/>
        </w:rPr>
        <w:t xml:space="preserve">5.1 How It Works Technically</w:t>
      </w:r>
    </w:p>
    <w:p>
      <w:pPr>
        <w:spacing w:after="60" w:before="60"/>
      </w:pPr>
      <w:r>
        <w:rPr>
          <w:rFonts w:ascii="Arial" w:cs="Arial" w:eastAsia="Arial" w:hAnsi="Arial"/>
          <w:b w:val="false"/>
          <w:bCs w:val="false"/>
          <w:i w:val="false"/>
          <w:iCs w:val="false"/>
          <w:color w:val="1A1A2E"/>
          <w:sz w:val="20"/>
          <w:szCs w:val="20"/>
        </w:rPr>
        <w:t xml:space="preserve">The AI analysis runs as a Supabase Edge Function using the Anthropic API (Claude Haiku for cost efficiency at scale). When an adviser clicks 'Analyse Market' on a project card, the function assembles a context payload and calls the API:</w:t>
      </w:r>
    </w:p>
    <w:p>
      <w:pPr>
        <w:pStyle w:val="ListParagraph"/>
        <w:numPr>
          <w:ilvl w:val="0"/>
          <w:numId w:val="2"/>
        </w:numPr>
        <w:spacing w:after="40" w:before="40"/>
      </w:pPr>
      <w:r>
        <w:rPr>
          <w:rFonts w:ascii="Arial" w:cs="Arial" w:eastAsia="Arial" w:hAnsi="Arial"/>
          <w:color w:val="1A1A2E"/>
          <w:sz w:val="20"/>
          <w:szCs w:val="20"/>
        </w:rPr>
        <w:t xml:space="preserve">Area name from the Reelly project record → query dld_areas for area_price_index_monthly (last 12 months)</w:t>
      </w:r>
    </w:p>
    <w:p>
      <w:pPr>
        <w:pStyle w:val="ListParagraph"/>
        <w:numPr>
          <w:ilvl w:val="0"/>
          <w:numId w:val="2"/>
        </w:numPr>
        <w:spacing w:after="40" w:before="40"/>
      </w:pPr>
      <w:r>
        <w:rPr>
          <w:rFonts w:ascii="Arial" w:cs="Arial" w:eastAsia="Arial" w:hAnsi="Arial"/>
          <w:color w:val="1A1A2E"/>
          <w:sz w:val="20"/>
          <w:szCs w:val="20"/>
        </w:rPr>
        <w:t xml:space="preserve">Developer name → query dld_transactions for comparable sales in the same sub-district, last 6 months</w:t>
      </w:r>
    </w:p>
    <w:p>
      <w:pPr>
        <w:pStyle w:val="ListParagraph"/>
        <w:numPr>
          <w:ilvl w:val="0"/>
          <w:numId w:val="2"/>
        </w:numPr>
        <w:spacing w:after="40" w:before="40"/>
      </w:pPr>
      <w:r>
        <w:rPr>
          <w:rFonts w:ascii="Arial" w:cs="Arial" w:eastAsia="Arial" w:hAnsi="Arial"/>
          <w:color w:val="1A1A2E"/>
          <w:sz w:val="20"/>
          <w:szCs w:val="20"/>
        </w:rPr>
        <w:t xml:space="preserve">Project type → query area yield benchmarks from dld_area_yields table</w:t>
      </w:r>
    </w:p>
    <w:p>
      <w:pPr>
        <w:pStyle w:val="ListParagraph"/>
        <w:numPr>
          <w:ilvl w:val="0"/>
          <w:numId w:val="2"/>
        </w:numPr>
        <w:spacing w:after="40" w:before="40"/>
      </w:pPr>
      <w:r>
        <w:rPr>
          <w:rFonts w:ascii="Arial" w:cs="Arial" w:eastAsia="Arial" w:hAnsi="Arial"/>
          <w:color w:val="1A1A2E"/>
          <w:sz w:val="20"/>
          <w:szCs w:val="20"/>
        </w:rPr>
        <w:t xml:space="preserve">Launch date → query Reelly /projects/markers for competing projects within 3km launching in same period</w:t>
      </w:r>
    </w:p>
    <w:p>
      <w:pPr>
        <w:pStyle w:val="ListParagraph"/>
        <w:numPr>
          <w:ilvl w:val="0"/>
          <w:numId w:val="2"/>
        </w:numPr>
        <w:spacing w:after="40" w:before="40"/>
      </w:pPr>
      <w:r>
        <w:rPr>
          <w:rFonts w:ascii="Arial" w:cs="Arial" w:eastAsia="Arial" w:hAnsi="Arial"/>
          <w:color w:val="1A1A2E"/>
          <w:sz w:val="20"/>
          <w:szCs w:val="20"/>
        </w:rPr>
        <w:t xml:space="preserve">All data assembled into a structured prompt → Claude Haiku returns a structured JSON response: { trend, comparables_summary, yield_context, pipeline_risk, verdict }</w:t>
      </w:r>
    </w:p>
    <w:p>
      <w:pPr>
        <w:pStyle w:val="ListParagraph"/>
        <w:numPr>
          <w:ilvl w:val="0"/>
          <w:numId w:val="2"/>
        </w:numPr>
        <w:spacing w:after="40" w:before="40"/>
      </w:pPr>
      <w:r>
        <w:rPr>
          <w:rFonts w:ascii="Arial" w:cs="Arial" w:eastAsia="Arial" w:hAnsi="Arial"/>
          <w:color w:val="1A1A2E"/>
          <w:sz w:val="20"/>
          <w:szCs w:val="20"/>
        </w:rPr>
        <w:t xml:space="preserve">Frontend renders the verdict card with colour-coded signal (green/amber/red) and a WhatsApp share button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The AI does not predict the future — it synthesises available market data into a clear, formatted brief that saves the adviser 30–60 minutes of manual research per project. That alone is worth the $100/month premium over Starter.</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6. Full Feature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20"/>
                <w:szCs w:val="20"/>
              </w:rPr>
              <w:t xml:space="preserve">Feature</w:t>
            </w:r>
          </w:p>
        </w:tc>
        <w:tc>
          <w:tcPr>
            <w:tcW w:type="dxa" w:w="15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20"/>
                <w:szCs w:val="20"/>
              </w:rPr>
              <w:t xml:space="preserve">Explorer</w:t>
            </w:r>
          </w:p>
          <w:p>
            <w:pPr>
              <w:jc w:val="center"/>
            </w:pPr>
            <w:r>
              <w:rPr>
                <w:rFonts w:ascii="Arial" w:cs="Arial" w:eastAsia="Arial" w:hAnsi="Arial"/>
                <w:b w:val="false"/>
                <w:bCs w:val="false"/>
                <w:color w:val="FFFFFF"/>
                <w:sz w:val="16"/>
                <w:szCs w:val="16"/>
              </w:rPr>
              <w:t xml:space="preserve">(Free)</w:t>
            </w:r>
          </w:p>
        </w:tc>
        <w:tc>
          <w:tcPr>
            <w:tcW w:type="dxa" w:w="15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20"/>
                <w:szCs w:val="20"/>
              </w:rPr>
              <w:t xml:space="preserve">Portfolio</w:t>
            </w:r>
          </w:p>
          <w:p>
            <w:pPr>
              <w:jc w:val="center"/>
            </w:pPr>
            <w:r>
              <w:rPr>
                <w:rFonts w:ascii="Arial" w:cs="Arial" w:eastAsia="Arial" w:hAnsi="Arial"/>
                <w:b w:val="false"/>
                <w:bCs w:val="false"/>
                <w:color w:val="FFFFFF"/>
                <w:sz w:val="16"/>
                <w:szCs w:val="16"/>
              </w:rPr>
              <w:t xml:space="preserve">Pro</w:t>
            </w:r>
          </w:p>
        </w:tc>
        <w:tc>
          <w:tcPr>
            <w:tcW w:type="dxa" w:w="15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20"/>
                <w:szCs w:val="20"/>
              </w:rPr>
              <w:t xml:space="preserve">Adviser</w:t>
            </w:r>
          </w:p>
          <w:p>
            <w:pPr>
              <w:jc w:val="center"/>
            </w:pPr>
            <w:r>
              <w:rPr>
                <w:rFonts w:ascii="Arial" w:cs="Arial" w:eastAsia="Arial" w:hAnsi="Arial"/>
                <w:b w:val="false"/>
                <w:bCs w:val="false"/>
                <w:color w:val="FFFFFF"/>
                <w:sz w:val="16"/>
                <w:szCs w:val="16"/>
              </w:rPr>
              <w:t xml:space="preserve">Starter</w:t>
            </w:r>
          </w:p>
        </w:tc>
        <w:tc>
          <w:tcPr>
            <w:tcW w:type="dxa" w:w="15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20"/>
                <w:szCs w:val="20"/>
              </w:rPr>
              <w:t xml:space="preserve">Adviser</w:t>
            </w:r>
          </w:p>
          <w:p>
            <w:pPr>
              <w:jc w:val="center"/>
            </w:pPr>
            <w:r>
              <w:rPr>
                <w:rFonts w:ascii="Arial" w:cs="Arial" w:eastAsia="Arial" w:hAnsi="Arial"/>
                <w:b w:val="false"/>
                <w:bCs w:val="false"/>
                <w:color w:val="FFFFFF"/>
                <w:sz w:val="16"/>
                <w:szCs w:val="16"/>
              </w:rPr>
              <w:t xml:space="preserve">Pro</w:t>
            </w:r>
          </w:p>
        </w:tc>
      </w:tr>
      <w:tr>
        <w:tc>
          <w:tcPr>
            <w:tcW w:type="dxa" w:w="9360"/>
            <w:gridSpan w:val="5"/>
            <w:tcBorders>
              <w:top w:val="single" w:color="CAAF6C" w:sz="1"/>
              <w:left w:val="single" w:color="CAAF6C" w:sz="1"/>
              <w:bottom w:val="single" w:color="CAAF6C" w:sz="1"/>
              <w:right w:val="single" w:color="CAAF6C" w:sz="1"/>
            </w:tcBorders>
            <w:shd w:fill="1A1A2E" w:val="clear"/>
            <w:tcMar>
              <w:top w:type="dxa" w:w="80"/>
              <w:left w:type="dxa" w:w="140"/>
              <w:bottom w:type="dxa" w:w="80"/>
              <w:right w:type="dxa" w:w="140"/>
            </w:tcMar>
          </w:tcPr>
          <w:p>
            <w:r>
              <w:rPr>
                <w:rFonts w:ascii="Arial" w:cs="Arial" w:eastAsia="Arial" w:hAnsi="Arial"/>
                <w:b/>
                <w:bCs/>
                <w:color w:val="CAAF6C"/>
                <w:sz w:val="18"/>
                <w:szCs w:val="18"/>
              </w:rPr>
              <w:t xml:space="preserve">RESEARCH TOOLS</w:t>
            </w:r>
          </w:p>
        </w:tc>
      </w:tr>
      <w:tr>
        <w:tc>
          <w:tcPr>
            <w:tcW w:type="dxa" w:w="33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Market heatmap (5 modes: growth, yield, liquidity, demand, price)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DLD transaction search &amp; history</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Area price trends &amp; indices</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Developer &amp; project listings</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Reelly.ai project data (basic)</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WhatsApp agent contact buttons</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9360"/>
            <w:gridSpan w:val="5"/>
            <w:tcBorders>
              <w:top w:val="single" w:color="CAAF6C" w:sz="1"/>
              <w:left w:val="single" w:color="CAAF6C" w:sz="1"/>
              <w:bottom w:val="single" w:color="CAAF6C" w:sz="1"/>
              <w:right w:val="single" w:color="CAAF6C" w:sz="1"/>
            </w:tcBorders>
            <w:shd w:fill="1A1A2E" w:val="clear"/>
            <w:tcMar>
              <w:top w:type="dxa" w:w="80"/>
              <w:left w:type="dxa" w:w="140"/>
              <w:bottom w:type="dxa" w:w="80"/>
              <w:right w:type="dxa" w:w="140"/>
            </w:tcMar>
          </w:tcPr>
          <w:p>
            <w:r>
              <w:rPr>
                <w:rFonts w:ascii="Arial" w:cs="Arial" w:eastAsia="Arial" w:hAnsi="Arial"/>
                <w:b/>
                <w:bCs/>
                <w:color w:val="CAAF6C"/>
                <w:sz w:val="18"/>
                <w:szCs w:val="18"/>
              </w:rPr>
              <w:t xml:space="preserve">PORTFOLIO (INVESTORS)</w:t>
            </w:r>
          </w:p>
        </w:tc>
      </w:tr>
      <w:tr>
        <w:tc>
          <w:tcPr>
            <w:tcW w:type="dxa" w:w="33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Portfolio tracker &amp; holdings</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Title deed upload &amp; validation</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Live P&amp;L, ROI &amp; yield calculator</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AI Concierge (property Q&amp;A)</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9360"/>
            <w:gridSpan w:val="5"/>
            <w:tcBorders>
              <w:top w:val="single" w:color="CAAF6C" w:sz="1"/>
              <w:left w:val="single" w:color="CAAF6C" w:sz="1"/>
              <w:bottom w:val="single" w:color="CAAF6C" w:sz="1"/>
              <w:right w:val="single" w:color="CAAF6C" w:sz="1"/>
            </w:tcBorders>
            <w:shd w:fill="1A1A2E" w:val="clear"/>
            <w:tcMar>
              <w:top w:type="dxa" w:w="80"/>
              <w:left w:type="dxa" w:w="140"/>
              <w:bottom w:type="dxa" w:w="80"/>
              <w:right w:type="dxa" w:w="140"/>
            </w:tcMar>
          </w:tcPr>
          <w:p>
            <w:r>
              <w:rPr>
                <w:rFonts w:ascii="Arial" w:cs="Arial" w:eastAsia="Arial" w:hAnsi="Arial"/>
                <w:b/>
                <w:bCs/>
                <w:color w:val="CAAF6C"/>
                <w:sz w:val="18"/>
                <w:szCs w:val="18"/>
              </w:rPr>
              <w:t xml:space="preserve">ADVISER PLATFORM</w:t>
            </w:r>
          </w:p>
        </w:tc>
      </w:tr>
      <w:tr>
        <w:tc>
          <w:tcPr>
            <w:tcW w:type="dxa" w:w="33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Branded subdomain (name.realsight.app)</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Custom brand colour &amp; logo</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Managed investor client accounts</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8E6" w:val="clear"/>
            <w:tcMar>
              <w:top w:type="dxa" w:w="80"/>
              <w:left w:type="dxa" w:w="80"/>
              <w:bottom w:type="dxa" w:w="80"/>
              <w:right w:type="dxa" w:w="80"/>
            </w:tcMar>
            <w:vAlign w:val="center"/>
          </w:tcPr>
          <w:p>
            <w:pPr>
              <w:jc w:val="center"/>
            </w:pPr>
            <w:r>
              <w:rPr>
                <w:rFonts w:ascii="Arial" w:cs="Arial" w:eastAsia="Arial" w:hAnsi="Arial"/>
                <w:b w:val="false"/>
                <w:bCs w:val="false"/>
                <w:color w:val="2D2D44"/>
                <w:sz w:val="16"/>
                <w:szCs w:val="16"/>
              </w:rPr>
              <w:t xml:space="preserve">Up to 10</w:t>
            </w:r>
          </w:p>
        </w:tc>
        <w:tc>
          <w:tcPr>
            <w:tcW w:type="dxa" w:w="1500"/>
            <w:tcBorders>
              <w:top w:val="single" w:color="DDDDE8" w:sz="1"/>
              <w:left w:val="single" w:color="DDDDE8" w:sz="1"/>
              <w:bottom w:val="single" w:color="DDDDE8" w:sz="1"/>
              <w:right w:val="single" w:color="DDDDE8" w:sz="1"/>
            </w:tcBorders>
            <w:shd w:fill="FFF8E6" w:val="clear"/>
            <w:tcMar>
              <w:top w:type="dxa" w:w="80"/>
              <w:left w:type="dxa" w:w="80"/>
              <w:bottom w:type="dxa" w:w="80"/>
              <w:right w:type="dxa" w:w="80"/>
            </w:tcMar>
            <w:vAlign w:val="center"/>
          </w:tcPr>
          <w:p>
            <w:pPr>
              <w:jc w:val="center"/>
            </w:pPr>
            <w:r>
              <w:rPr>
                <w:rFonts w:ascii="Arial" w:cs="Arial" w:eastAsia="Arial" w:hAnsi="Arial"/>
                <w:b w:val="false"/>
                <w:bCs w:val="false"/>
                <w:color w:val="2D2D44"/>
                <w:sz w:val="16"/>
                <w:szCs w:val="16"/>
              </w:rPr>
              <w:t xml:space="preserve">Up to 50</w:t>
            </w:r>
          </w:p>
        </w:tc>
      </w:tr>
      <w:tr>
        <w:tc>
          <w:tcPr>
            <w:tcW w:type="dxa" w:w="33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Monthly Picks publishing</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WhatsApp share &amp; enquiry buttons</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Investor admin dashboard</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AI Concierge with custom persona</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9360"/>
            <w:gridSpan w:val="5"/>
            <w:tcBorders>
              <w:top w:val="single" w:color="CAAF6C" w:sz="1"/>
              <w:left w:val="single" w:color="CAAF6C" w:sz="1"/>
              <w:bottom w:val="single" w:color="CAAF6C" w:sz="1"/>
              <w:right w:val="single" w:color="CAAF6C" w:sz="1"/>
            </w:tcBorders>
            <w:shd w:fill="1A1A2E" w:val="clear"/>
            <w:tcMar>
              <w:top w:type="dxa" w:w="80"/>
              <w:left w:type="dxa" w:w="140"/>
              <w:bottom w:type="dxa" w:w="80"/>
              <w:right w:type="dxa" w:w="140"/>
            </w:tcMar>
          </w:tcPr>
          <w:p>
            <w:r>
              <w:rPr>
                <w:rFonts w:ascii="Arial" w:cs="Arial" w:eastAsia="Arial" w:hAnsi="Arial"/>
                <w:b/>
                <w:bCs/>
                <w:color w:val="CAAF6C"/>
                <w:sz w:val="18"/>
                <w:szCs w:val="18"/>
              </w:rPr>
              <w:t xml:space="preserve">OFF-PLAN INTELLIGENCE (Pro only)</w:t>
            </w:r>
          </w:p>
        </w:tc>
      </w:tr>
      <w:tr>
        <w:tc>
          <w:tcPr>
            <w:tcW w:type="dxa" w:w="33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Reelly.ai full off-plan listings</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AI Market Analysis per project</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Off-plan area supply &amp; pipeline data</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r>
        <w:tc>
          <w:tcPr>
            <w:tcW w:type="dxa" w:w="33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Commission &amp; launch calendar</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color w:val="BBBBBB"/>
                <w:sz w:val="22"/>
                <w:szCs w:val="22"/>
              </w:rPr>
              <w:t xml:space="preserve">—</w:t>
            </w:r>
          </w:p>
        </w:tc>
        <w:tc>
          <w:tcPr>
            <w:tcW w:type="dxa" w:w="1500"/>
            <w:tcBorders>
              <w:top w:val="single" w:color="DDDDE8" w:sz="1"/>
              <w:left w:val="single" w:color="DDDDE8" w:sz="1"/>
              <w:bottom w:val="single" w:color="DDDDE8" w:sz="1"/>
              <w:right w:val="single" w:color="DDDDE8" w:sz="1"/>
            </w:tcBorders>
            <w:shd w:fill="E8F5EE" w:val="clear"/>
            <w:tcMar>
              <w:top w:type="dxa" w:w="80"/>
              <w:left w:type="dxa" w:w="80"/>
              <w:bottom w:type="dxa" w:w="80"/>
              <w:right w:type="dxa" w:w="80"/>
            </w:tcMar>
            <w:vAlign w:val="center"/>
          </w:tcPr>
          <w:p>
            <w:pPr>
              <w:jc w:val="center"/>
            </w:pPr>
            <w:r>
              <w:rPr>
                <w:rFonts w:ascii="Arial" w:cs="Arial" w:eastAsia="Arial" w:hAnsi="Arial"/>
                <w:b/>
                <w:bCs/>
                <w:color w:val="1E7A4A"/>
                <w:sz w:val="22"/>
                <w:szCs w:val="22"/>
              </w:rPr>
              <w:t xml:space="preserve">✓</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7. Competitor Landscape</w:t>
      </w:r>
    </w:p>
    <w:p>
      <w:pPr>
        <w:spacing w:after="60" w:before="60"/>
      </w:pPr>
      <w:r>
        <w:rPr>
          <w:rFonts w:ascii="Arial" w:cs="Arial" w:eastAsia="Arial" w:hAnsi="Arial"/>
          <w:b w:val="false"/>
          <w:bCs w:val="false"/>
          <w:i w:val="false"/>
          <w:iCs w:val="false"/>
          <w:color w:val="1A1A2E"/>
          <w:sz w:val="20"/>
          <w:szCs w:val="20"/>
        </w:rPr>
        <w:t xml:space="preserve">RealSight operates in a market with a clear structural gap: free tools exist (DXBinteract) but offer nothing for advisers or portfolio management; enterprise tools exist (Reidin, Property Monitor) but are priced out of reach for individual agents. RealSight owns the space between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680"/>
        <w:gridCol w:w="1800"/>
        <w:gridCol w:w="1920"/>
      </w:tblGrid>
      <w:tr>
        <w:trPr>
          <w:tblHeader/>
        </w:trPr>
        <w:tc>
          <w:tcPr>
            <w:tcW w:type="dxa" w:w="24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Platform</w:t>
            </w:r>
          </w:p>
        </w:tc>
        <w:tc>
          <w:tcPr>
            <w:tcW w:type="dxa" w:w="156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Price</w:t>
            </w:r>
          </w:p>
        </w:tc>
        <w:tc>
          <w:tcPr>
            <w:tcW w:type="dxa" w:w="168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Target</w:t>
            </w:r>
          </w:p>
        </w:tc>
        <w:tc>
          <w:tcPr>
            <w:tcW w:type="dxa" w:w="18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Data</w:t>
            </w:r>
          </w:p>
        </w:tc>
        <w:tc>
          <w:tcPr>
            <w:tcW w:type="dxa" w:w="192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Key Gap vs RealSight</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D2D44"/>
                <w:sz w:val="17"/>
                <w:szCs w:val="17"/>
              </w:rPr>
              <w:t xml:space="preserve">DXBinteract</w:t>
            </w:r>
          </w:p>
        </w:tc>
        <w:tc>
          <w:tcPr>
            <w:tcW w:type="dxa" w:w="1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Free (forever)</w:t>
            </w:r>
          </w:p>
        </w:tc>
        <w:tc>
          <w:tcPr>
            <w:tcW w:type="dxa" w:w="16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Dubai agents &amp; investors</w:t>
            </w:r>
          </w:p>
        </w:tc>
        <w:tc>
          <w:tcPr>
            <w:tcW w:type="dxa" w:w="18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DLD transactions</w:t>
            </w:r>
          </w:p>
        </w:tc>
        <w:tc>
          <w:tcPr>
            <w:tcW w:type="dxa" w:w="19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No portfolio, no adviser branding, Dubai only</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2D2D44"/>
                <w:sz w:val="17"/>
                <w:szCs w:val="17"/>
              </w:rPr>
              <w:t xml:space="preserve">DXBiQ</w:t>
            </w:r>
          </w:p>
        </w:tc>
        <w:tc>
          <w:tcPr>
            <w:tcW w:type="dxa" w:w="15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Free beta</w:t>
            </w:r>
          </w:p>
        </w:tc>
        <w:tc>
          <w:tcPr>
            <w:tcW w:type="dxa" w:w="16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Dubai agents</w:t>
            </w:r>
          </w:p>
        </w:tc>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DLD raw charts</w:t>
            </w:r>
          </w:p>
        </w:tc>
        <w:tc>
          <w:tcPr>
            <w:tcW w:type="dxa" w:w="192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Beta, no investor tools, no AI, Dubai only</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D2D44"/>
                <w:sz w:val="17"/>
                <w:szCs w:val="17"/>
              </w:rPr>
              <w:t xml:space="preserve">Reidin</w:t>
            </w:r>
          </w:p>
        </w:tc>
        <w:tc>
          <w:tcPr>
            <w:tcW w:type="dxa" w:w="1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$2,700+/mo</w:t>
            </w:r>
          </w:p>
        </w:tc>
        <w:tc>
          <w:tcPr>
            <w:tcW w:type="dxa" w:w="16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Institutional / PRE</w:t>
            </w:r>
          </w:p>
        </w:tc>
        <w:tc>
          <w:tcPr>
            <w:tcW w:type="dxa" w:w="18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Deep analytics, valuations</w:t>
            </w:r>
          </w:p>
        </w:tc>
        <w:tc>
          <w:tcPr>
            <w:tcW w:type="dxa" w:w="19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Enterprise price, inaccessible to individuals</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2D2D44"/>
                <w:sz w:val="17"/>
                <w:szCs w:val="17"/>
              </w:rPr>
              <w:t xml:space="preserve">Property Monitor</w:t>
            </w:r>
          </w:p>
        </w:tc>
        <w:tc>
          <w:tcPr>
            <w:tcW w:type="dxa" w:w="15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$2,200–4,100+/mo</w:t>
            </w:r>
          </w:p>
        </w:tc>
        <w:tc>
          <w:tcPr>
            <w:tcW w:type="dxa" w:w="16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Banks / enterprise</w:t>
            </w:r>
          </w:p>
        </w:tc>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Valuations, indices</w:t>
            </w:r>
          </w:p>
        </w:tc>
        <w:tc>
          <w:tcPr>
            <w:tcW w:type="dxa" w:w="192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Not for individual agents at all</w:t>
            </w:r>
          </w:p>
        </w:tc>
      </w:tr>
      <w:tr>
        <w:tc>
          <w:tcPr>
            <w:tcW w:type="dxa" w:w="24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2D2D44"/>
                <w:sz w:val="17"/>
                <w:szCs w:val="17"/>
              </w:rPr>
              <w:t xml:space="preserve">Stessa (global)</w:t>
            </w:r>
          </w:p>
        </w:tc>
        <w:tc>
          <w:tcPr>
            <w:tcW w:type="dxa" w:w="156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Free / $12 pro</w:t>
            </w:r>
          </w:p>
        </w:tc>
        <w:tc>
          <w:tcPr>
            <w:tcW w:type="dxa" w:w="16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US investors</w:t>
            </w:r>
          </w:p>
        </w:tc>
        <w:tc>
          <w:tcPr>
            <w:tcW w:type="dxa" w:w="18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Portfolio tracker</w:t>
            </w:r>
          </w:p>
        </w:tc>
        <w:tc>
          <w:tcPr>
            <w:tcW w:type="dxa" w:w="19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No international property data, no adviser layer</w:t>
            </w:r>
          </w:p>
        </w:tc>
      </w:tr>
      <w:tr>
        <w:tc>
          <w:tcPr>
            <w:tcW w:type="dxa" w:w="24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2D2D44"/>
                <w:sz w:val="17"/>
                <w:szCs w:val="17"/>
              </w:rPr>
              <w:t xml:space="preserve">RealSight</w:t>
            </w:r>
          </w:p>
        </w:tc>
        <w:tc>
          <w:tcPr>
            <w:tcW w:type="dxa" w:w="156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Free + $29/$99/$199</w:t>
            </w:r>
          </w:p>
        </w:tc>
        <w:tc>
          <w:tcPr>
            <w:tcW w:type="dxa" w:w="16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Advisers &amp; investors globally</w:t>
            </w:r>
          </w:p>
        </w:tc>
        <w:tc>
          <w:tcPr>
            <w:tcW w:type="dxa" w:w="18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DLD + Reelly + AI + portfolio</w:t>
            </w:r>
          </w:p>
        </w:tc>
        <w:tc>
          <w:tcPr>
            <w:tcW w:type="dxa" w:w="192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7"/>
                <w:szCs w:val="17"/>
              </w:rPr>
              <w:t xml:space="preserve">Being built — this is the gap we fill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The DXBinteract attack angle: 'DXBinteract uses you to generate leads for FAM Properties. Every WhatsApp button on their site routes to their agents — not yours. RealSight gives you your own platform. Your brand. Your WhatsApp number. Your clients stay loyal to you.'</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8. Adviser ROI — The One-Deal Argument</w:t>
      </w:r>
    </w:p>
    <w:p>
      <w:pPr>
        <w:spacing w:after="60" w:before="60"/>
      </w:pPr>
      <w:r>
        <w:rPr>
          <w:rFonts w:ascii="Arial" w:cs="Arial" w:eastAsia="Arial" w:hAnsi="Arial"/>
          <w:b w:val="false"/>
          <w:bCs w:val="false"/>
          <w:i w:val="false"/>
          <w:iCs w:val="false"/>
          <w:color w:val="1A1A2E"/>
          <w:sz w:val="20"/>
          <w:szCs w:val="20"/>
        </w:rPr>
        <w:t xml:space="preserve">Dubai real estate commission economics make the RealSight subscription cost trivially easy to justify. The numbers below use Dubai as the primary market since that is the launch market, but the argument holds globally: one closed deal from an informed investor client covers the subscription many times over.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Metric</w:t>
            </w:r>
          </w:p>
        </w:tc>
        <w:tc>
          <w:tcPr>
            <w:tcW w:type="dxa" w:w="308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Adviser Starter ($99/mo)</w:t>
            </w:r>
          </w:p>
        </w:tc>
        <w:tc>
          <w:tcPr>
            <w:tcW w:type="dxa" w:w="308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Adviser Pro ($199/mo)</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Monthly cost</w:t>
            </w:r>
          </w:p>
        </w:tc>
        <w:tc>
          <w:tcPr>
            <w:tcW w:type="dxa" w:w="30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$99</w:t>
            </w:r>
          </w:p>
        </w:tc>
        <w:tc>
          <w:tcPr>
            <w:tcW w:type="dxa" w:w="30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$199</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Annual cost</w:t>
            </w:r>
          </w:p>
        </w:tc>
        <w:tc>
          <w:tcPr>
            <w:tcW w:type="dxa" w:w="30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$1,188 (or $948 annual plan)</w:t>
            </w:r>
          </w:p>
        </w:tc>
        <w:tc>
          <w:tcPr>
            <w:tcW w:type="dxa" w:w="308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$2,388 (or $1,908 annual plan)</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Avg. Dubai sale commission (2% on $550K property)</w:t>
            </w:r>
          </w:p>
        </w:tc>
        <w:tc>
          <w:tcPr>
            <w:tcW w:type="dxa" w:w="30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$11,000</w:t>
            </w:r>
          </w:p>
        </w:tc>
        <w:tc>
          <w:tcPr>
            <w:tcW w:type="dxa" w:w="308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$11,000</w:t>
            </w:r>
          </w:p>
        </w:tc>
      </w:tr>
      <w:tr>
        <w:tc>
          <w:tcPr>
            <w:tcW w:type="dxa" w:w="32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Break-even (extra deals to cover annual cost)</w:t>
            </w:r>
          </w:p>
        </w:tc>
        <w:tc>
          <w:tcPr>
            <w:tcW w:type="dxa" w:w="308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0.09 deals/year</w:t>
            </w:r>
          </w:p>
        </w:tc>
        <w:tc>
          <w:tcPr>
            <w:tcW w:type="dxa" w:w="308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0.17 deals/year</w:t>
            </w:r>
          </w:p>
        </w:tc>
      </w:tr>
      <w:tr>
        <w:tc>
          <w:tcPr>
            <w:tcW w:type="dxa" w:w="32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Trial period to prove ROI before paying</w:t>
            </w:r>
          </w:p>
        </w:tc>
        <w:tc>
          <w:tcPr>
            <w:tcW w:type="dxa" w:w="308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30 days free on Pro</w:t>
            </w:r>
          </w:p>
        </w:tc>
        <w:tc>
          <w:tcPr>
            <w:tcW w:type="dxa" w:w="308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30 days free on Pro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Sales script: 'Try the full Pro plan free for 30 days. No credit card. If you close one deal from a client you managed through RealSight in those 30 days, you have already paid for the year. If not, you pay nothing and walk away.'</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9. Conversion Funnel</w:t>
      </w:r>
    </w:p>
    <w:p>
      <w:pPr>
        <w:spacing w:after="60" w:before="60"/>
      </w:pPr>
      <w:r>
        <w:rPr>
          <w:rFonts w:ascii="Arial" w:cs="Arial" w:eastAsia="Arial" w:hAnsi="Arial"/>
          <w:b w:val="false"/>
          <w:bCs w:val="false"/>
          <w:i w:val="false"/>
          <w:iCs w:val="false"/>
          <w:color w:val="1A1A2E"/>
          <w:sz w:val="20"/>
          <w:szCs w:val="20"/>
        </w:rPr>
        <w:t xml:space="preserve">The funnel is designed so that every natural user action on the free tier leads to a contextual upgrade moment. No pushy pop-ups — the gate appears only when the user tries to do something that requires a paid feature.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700"/>
        <w:gridCol w:w="2700"/>
      </w:tblGrid>
      <w:tr>
        <w:trPr>
          <w:tblHeader/>
        </w:trPr>
        <w:tc>
          <w:tcPr>
            <w:tcW w:type="dxa" w:w="144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Stage</w:t>
            </w:r>
          </w:p>
        </w:tc>
        <w:tc>
          <w:tcPr>
            <w:tcW w:type="dxa" w:w="252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User Action</w:t>
            </w:r>
          </w:p>
        </w:tc>
        <w:tc>
          <w:tcPr>
            <w:tcW w:type="dxa" w:w="27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RealSight Hook</w:t>
            </w:r>
          </w:p>
        </w:tc>
        <w:tc>
          <w:tcPr>
            <w:tcW w:type="dxa" w:w="27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Conversion Point</w:t>
            </w:r>
          </w:p>
        </w:tc>
      </w:tr>
      <w:tr>
        <w:tc>
          <w:tcPr>
            <w:tcW w:type="dxa" w:w="14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1</w:t>
            </w:r>
          </w:p>
        </w:tc>
        <w:tc>
          <w:tcPr>
            <w:tcW w:type="dxa" w:w="25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Searches area price trends</w:t>
            </w:r>
          </w:p>
        </w:tc>
        <w:tc>
          <w:tcPr>
            <w:tcW w:type="dxa" w:w="27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Heatmap + price history (free)</w:t>
            </w:r>
          </w:p>
        </w:tc>
        <w:tc>
          <w:tcPr>
            <w:tcW w:type="dxa" w:w="27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BBBBBB"/>
                <w:sz w:val="20"/>
                <w:szCs w:val="20"/>
              </w:rPr>
              <w:t xml:space="preserve">—</w:t>
            </w:r>
          </w:p>
        </w:tc>
      </w:tr>
      <w:tr>
        <w:tc>
          <w:tcPr>
            <w:tcW w:type="dxa" w:w="14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2</w:t>
            </w:r>
          </w:p>
        </w:tc>
        <w:tc>
          <w:tcPr>
            <w:tcW w:type="dxa" w:w="252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Browses off-plan project cards</w:t>
            </w:r>
          </w:p>
        </w:tc>
        <w:tc>
          <w:tcPr>
            <w:tcW w:type="dxa" w:w="27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Basic Reelly listings visible (free)</w:t>
            </w:r>
          </w:p>
        </w:tc>
        <w:tc>
          <w:tcPr>
            <w:tcW w:type="dxa" w:w="27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BBBBBB"/>
                <w:sz w:val="20"/>
                <w:szCs w:val="20"/>
              </w:rPr>
              <w:t xml:space="preserve">—</w:t>
            </w:r>
          </w:p>
        </w:tc>
      </w:tr>
      <w:tr>
        <w:tc>
          <w:tcPr>
            <w:tcW w:type="dxa" w:w="14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3</w:t>
            </w:r>
          </w:p>
        </w:tc>
        <w:tc>
          <w:tcPr>
            <w:tcW w:type="dxa" w:w="252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Clicks 'Analyse Market' on a project</w:t>
            </w:r>
          </w:p>
        </w:tc>
        <w:tc>
          <w:tcPr>
            <w:tcW w:type="dxa" w:w="270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'Upgrade to Adviser Pro to unlock AI analysis'</w:t>
            </w:r>
          </w:p>
        </w:tc>
        <w:tc>
          <w:tcPr>
            <w:tcW w:type="dxa" w:w="270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Adviser Pro $199/mo</w:t>
            </w:r>
          </w:p>
        </w:tc>
      </w:tr>
      <w:tr>
        <w:tc>
          <w:tcPr>
            <w:tcW w:type="dxa" w:w="14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4</w:t>
            </w:r>
          </w:p>
        </w:tc>
        <w:tc>
          <w:tcPr>
            <w:tcW w:type="dxa" w:w="25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Investor clicks 'Add to Portfolio'</w:t>
            </w:r>
          </w:p>
        </w:tc>
        <w:tc>
          <w:tcPr>
            <w:tcW w:type="dxa" w:w="27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'Upgrade to Portfolio Pro to track holdings'</w:t>
            </w:r>
          </w:p>
        </w:tc>
        <w:tc>
          <w:tcPr>
            <w:tcW w:type="dxa" w:w="27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Portfolio Pro $29/mo</w:t>
            </w:r>
          </w:p>
        </w:tc>
      </w:tr>
      <w:tr>
        <w:tc>
          <w:tcPr>
            <w:tcW w:type="dxa" w:w="14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5</w:t>
            </w:r>
          </w:p>
        </w:tc>
        <w:tc>
          <w:tcPr>
            <w:tcW w:type="dxa" w:w="252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Adviser shares branded subdomain link with client</w:t>
            </w:r>
          </w:p>
        </w:tc>
        <w:tc>
          <w:tcPr>
            <w:tcW w:type="dxa" w:w="270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Client joins under adviser's tenant — auto-routed</w:t>
            </w:r>
          </w:p>
        </w:tc>
        <w:tc>
          <w:tcPr>
            <w:tcW w:type="dxa" w:w="270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E7A4A"/>
                <w:sz w:val="20"/>
                <w:szCs w:val="20"/>
              </w:rPr>
              <w:t xml:space="preserve">Viral: each adviser brings investors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The 30-day free trial is the most important conversion lever. During the trial, advisers will onboard investors, publish their first Monthly Picks, and use the AI Market Analysis. After 30 days, losing access to these features is a strong incentive to subscribe.</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10. Revenue Projections</w:t>
      </w:r>
    </w:p>
    <w:p>
      <w:pPr>
        <w:spacing w:after="60" w:before="60"/>
      </w:pPr>
      <w:r>
        <w:rPr>
          <w:rFonts w:ascii="Arial" w:cs="Arial" w:eastAsia="Arial" w:hAnsi="Arial"/>
          <w:b w:val="false"/>
          <w:bCs w:val="false"/>
          <w:i w:val="false"/>
          <w:iCs w:val="false"/>
          <w:color w:val="1A1A2E"/>
          <w:sz w:val="20"/>
          <w:szCs w:val="20"/>
        </w:rPr>
        <w:t xml:space="preserve">All figures in USD. Blended adviser ARPU assumes 60% Starter ($99) and 40% Pro ($199) — conservatively weighted toward the lower tier. Portfolio Pro at $29/month.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rPr>
          <w:tblHeader/>
        </w:trPr>
        <w:tc>
          <w:tcPr>
            <w:tcW w:type="dxa" w:w="260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Scenario</w:t>
            </w:r>
          </w:p>
        </w:tc>
        <w:tc>
          <w:tcPr>
            <w:tcW w:type="dxa" w:w="169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Month 3</w:t>
            </w:r>
          </w:p>
        </w:tc>
        <w:tc>
          <w:tcPr>
            <w:tcW w:type="dxa" w:w="169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Month 6</w:t>
            </w:r>
          </w:p>
        </w:tc>
        <w:tc>
          <w:tcPr>
            <w:tcW w:type="dxa" w:w="169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Month 9</w:t>
            </w:r>
          </w:p>
        </w:tc>
        <w:tc>
          <w:tcPr>
            <w:tcW w:type="dxa" w:w="169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Month 12</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Conservative</w:t>
            </w:r>
          </w:p>
        </w:tc>
        <w:tc>
          <w:tcPr>
            <w:tcW w:type="dxa" w:w="169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$2,910/mo</w:t>
            </w:r>
          </w:p>
        </w:tc>
        <w:tc>
          <w:tcPr>
            <w:tcW w:type="dxa" w:w="169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$7,275/mo</w:t>
            </w:r>
          </w:p>
        </w:tc>
        <w:tc>
          <w:tcPr>
            <w:tcW w:type="dxa" w:w="169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$13,095/mo</w:t>
            </w:r>
          </w:p>
        </w:tc>
        <w:tc>
          <w:tcPr>
            <w:tcW w:type="dxa" w:w="169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20"/>
                <w:szCs w:val="20"/>
              </w:rPr>
              <w:t xml:space="preserve">$20,370/mo</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6"/>
                <w:szCs w:val="16"/>
              </w:rPr>
              <w:t xml:space="preserve">  10 Adviser Starter + 5 Adviser Pro + 5 Portfolio Pro</w:t>
            </w:r>
          </w:p>
        </w:tc>
        <w:tc>
          <w:tcPr>
            <w:tcW w:type="dxa" w:w="169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
            </w:r>
          </w:p>
        </w:tc>
        <w:tc>
          <w:tcPr>
            <w:tcW w:type="dxa" w:w="169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5"/>
                <w:szCs w:val="15"/>
              </w:rPr>
              <w:t xml:space="preserve">25 Adv + 10 Pro</w:t>
            </w:r>
          </w:p>
        </w:tc>
        <w:tc>
          <w:tcPr>
            <w:tcW w:type="dxa" w:w="169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5"/>
                <w:szCs w:val="15"/>
              </w:rPr>
              <w:t xml:space="preserve">45 Adv + 15 Pro</w:t>
            </w:r>
          </w:p>
        </w:tc>
        <w:tc>
          <w:tcPr>
            <w:tcW w:type="dxa" w:w="169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5"/>
                <w:szCs w:val="15"/>
              </w:rPr>
              <w:t xml:space="preserve">70 Adv + 20 Pro</w:t>
            </w:r>
          </w:p>
        </w:tc>
      </w:tr>
      <w:tr>
        <w:tc>
          <w:tcPr>
            <w:tcW w:type="dxa" w:w="2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Realistic</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$7,275/mo</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$21,825/mo</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$43,650/mo</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20"/>
                <w:szCs w:val="20"/>
              </w:rPr>
              <w:t xml:space="preserve">$72,750/mo</w:t>
            </w:r>
          </w:p>
        </w:tc>
      </w:tr>
      <w:tr>
        <w:tc>
          <w:tcPr>
            <w:tcW w:type="dxa" w:w="260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6"/>
                <w:szCs w:val="16"/>
              </w:rPr>
              <w:t xml:space="preserve">  25 Advisers (mixed) + 20 Portfolio Pro</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5"/>
                <w:szCs w:val="15"/>
              </w:rPr>
              <w:t xml:space="preserve">75 Adv + 50 Pro</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5"/>
                <w:szCs w:val="15"/>
              </w:rPr>
              <w:t xml:space="preserve">150 Adv + 100 Pro</w:t>
            </w:r>
          </w:p>
        </w:tc>
        <w:tc>
          <w:tcPr>
            <w:tcW w:type="dxa" w:w="1690"/>
            <w:gridSpan w:val="1"/>
            <w:tcBorders>
              <w:top w:val="single" w:color="DDDDE8" w:sz="1"/>
              <w:left w:val="single" w:color="DDDDE8" w:sz="1"/>
              <w:bottom w:val="single" w:color="DDDDE8" w:sz="1"/>
              <w:right w:val="single" w:color="DDDDE8" w:sz="1"/>
            </w:tcBorders>
            <w:shd w:fill="F0E8D0"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5"/>
                <w:szCs w:val="15"/>
              </w:rPr>
              <w:t xml:space="preserve">250 Adv + 150 Pro</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20"/>
                <w:szCs w:val="20"/>
              </w:rPr>
              <w:t xml:space="preserve">Aggressive</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$21,825/mo</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$65,475/mo</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$145,500/mo</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bCs/>
                <w:i w:val="false"/>
                <w:iCs w:val="false"/>
                <w:color w:val="1E7A4A"/>
                <w:sz w:val="20"/>
                <w:szCs w:val="20"/>
              </w:rPr>
              <w:t xml:space="preserve">$290,000/mo</w:t>
            </w:r>
          </w:p>
        </w:tc>
      </w:tr>
      <w:tr>
        <w:tc>
          <w:tcPr>
            <w:tcW w:type="dxa" w:w="260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iCs/>
                <w:color w:val="1A1A2E"/>
                <w:sz w:val="16"/>
                <w:szCs w:val="16"/>
              </w:rPr>
              <w:t xml:space="preserve">  75 Advisers (mixed) + 50 Portfolio Pro</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5"/>
                <w:szCs w:val="15"/>
              </w:rPr>
              <w:t xml:space="preserve">225 Adv + 150 Pro</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5"/>
                <w:szCs w:val="15"/>
              </w:rPr>
              <w:t xml:space="preserve">500 Adv + 200 Pro</w:t>
            </w:r>
          </w:p>
        </w:tc>
        <w:tc>
          <w:tcPr>
            <w:tcW w:type="dxa" w:w="1690"/>
            <w:gridSpan w:val="1"/>
            <w:tcBorders>
              <w:top w:val="single" w:color="DDDDE8" w:sz="1"/>
              <w:left w:val="single" w:color="DDDDE8" w:sz="1"/>
              <w:bottom w:val="single" w:color="DDDDE8" w:sz="1"/>
              <w:right w:val="single" w:color="DDDDE8" w:sz="1"/>
            </w:tcBorders>
            <w:shd w:fill="E8F5EE" w:val="clear"/>
            <w:tcMar>
              <w:top w:type="dxa" w:w="100"/>
              <w:left w:type="dxa" w:w="140"/>
              <w:bottom w:type="dxa" w:w="100"/>
              <w:right w:type="dxa" w:w="140"/>
            </w:tcMar>
            <w:vAlign w:val="center"/>
          </w:tcPr>
          <w:p>
            <w:pPr>
              <w:jc w:val="center"/>
            </w:pPr>
            <w:r>
              <w:rPr>
                <w:rFonts w:ascii="Arial" w:cs="Arial" w:eastAsia="Arial" w:hAnsi="Arial"/>
                <w:b w:val="false"/>
                <w:bCs w:val="false"/>
                <w:i/>
                <w:iCs/>
                <w:color w:val="1A1A2E"/>
                <w:sz w:val="15"/>
                <w:szCs w:val="15"/>
              </w:rPr>
              <w:t xml:space="preserve">1000 Adv + 300 Pro</w:t>
            </w:r>
          </w:p>
        </w:tc>
      </w:tr>
    </w:tbl>
    <w:p>
      <w:pPr>
        <w:spacing w:after="0" w:before="80"/>
      </w:pPr>
      <w:r>
        <w:t xml:space="preserve"/>
      </w:r>
    </w:p>
    <w:p>
      <w:pPr>
        <w:pStyle w:val="ListParagraph"/>
        <w:numPr>
          <w:ilvl w:val="0"/>
          <w:numId w:val="2"/>
        </w:numPr>
        <w:spacing w:after="40" w:before="40"/>
      </w:pPr>
      <w:r>
        <w:rPr>
          <w:rFonts w:ascii="Arial" w:cs="Arial" w:eastAsia="Arial" w:hAnsi="Arial"/>
          <w:color w:val="1A1A2E"/>
          <w:sz w:val="20"/>
          <w:szCs w:val="20"/>
        </w:rPr>
        <w:t xml:space="preserve">$5,000 MRR → ~30 paying users (10 advisers + 20 portfolio pro) → achievable within weeks of launch</w:t>
      </w:r>
    </w:p>
    <w:p>
      <w:pPr>
        <w:pStyle w:val="ListParagraph"/>
        <w:numPr>
          <w:ilvl w:val="0"/>
          <w:numId w:val="2"/>
        </w:numPr>
        <w:spacing w:after="40" w:before="40"/>
      </w:pPr>
      <w:r>
        <w:rPr>
          <w:rFonts w:ascii="Arial" w:cs="Arial" w:eastAsia="Arial" w:hAnsi="Arial"/>
          <w:color w:val="1A1A2E"/>
          <w:sz w:val="20"/>
          <w:szCs w:val="20"/>
        </w:rPr>
        <w:t xml:space="preserve">$50,000 MRR → ~300 paying users → 6–9 months with consistent outreach</w:t>
      </w:r>
    </w:p>
    <w:p>
      <w:pPr>
        <w:pStyle w:val="ListParagraph"/>
        <w:numPr>
          <w:ilvl w:val="0"/>
          <w:numId w:val="2"/>
        </w:numPr>
        <w:spacing w:after="40" w:before="40"/>
      </w:pPr>
      <w:r>
        <w:rPr>
          <w:rFonts w:ascii="Arial" w:cs="Arial" w:eastAsia="Arial" w:hAnsi="Arial"/>
          <w:color w:val="1A1A2E"/>
          <w:sz w:val="20"/>
          <w:szCs w:val="20"/>
        </w:rPr>
        <w:t xml:space="preserve">$100,000 MRR → ~600 paying users → less than 1% of Dubai's 60,000+ registered agents alone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At Adviser Pro pricing ($199/month), acquiring 500 active adviser subscribers globally generates $1.2M ARR. Dubai alone has 60,000+ registered agents. The addressable market is significant even at low penetration rates.</w:t>
            </w:r>
          </w:p>
        </w:tc>
      </w:tr>
    </w:tbl>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11. Launch Sequence</w:t>
      </w:r>
    </w:p>
    <w:p>
      <w:pPr>
        <w:pStyle w:val="Heading2"/>
        <w:spacing w:after="120" w:before="240"/>
      </w:pPr>
      <w:r>
        <w:rPr>
          <w:rFonts w:ascii="Arial" w:cs="Arial" w:eastAsia="Arial" w:hAnsi="Arial"/>
          <w:b/>
          <w:bCs/>
          <w:color w:val="2D2D44"/>
          <w:sz w:val="26"/>
          <w:szCs w:val="26"/>
        </w:rPr>
        <w:t xml:space="preserve">11.1 Week 1 — Critical Path</w:t>
      </w:r>
    </w:p>
    <w:p>
      <w:pPr>
        <w:pStyle w:val="ListParagraph"/>
        <w:numPr>
          <w:ilvl w:val="0"/>
          <w:numId w:val="2"/>
        </w:numPr>
        <w:spacing w:after="40" w:before="40"/>
      </w:pPr>
      <w:r>
        <w:rPr>
          <w:rFonts w:ascii="Arial" w:cs="Arial" w:eastAsia="Arial" w:hAnsi="Arial"/>
          <w:color w:val="1A1A2E"/>
          <w:sz w:val="20"/>
          <w:szCs w:val="20"/>
        </w:rPr>
        <w:t xml:space="preserve">Deploy Explorer (free tier) as the public-facing homepage — full heatmap + DLD data + Reelly basic</w:t>
      </w:r>
    </w:p>
    <w:p>
      <w:pPr>
        <w:pStyle w:val="ListParagraph"/>
        <w:numPr>
          <w:ilvl w:val="0"/>
          <w:numId w:val="2"/>
        </w:numPr>
        <w:spacing w:after="40" w:before="40"/>
      </w:pPr>
      <w:r>
        <w:rPr>
          <w:rFonts w:ascii="Arial" w:cs="Arial" w:eastAsia="Arial" w:hAnsi="Arial"/>
          <w:color w:val="1A1A2E"/>
          <w:sz w:val="20"/>
          <w:szCs w:val="20"/>
        </w:rPr>
        <w:t xml:space="preserve">Wire Stripe Checkout for Portfolio Pro ($29) and Adviser Starter ($99) — minimum viable billing</w:t>
      </w:r>
    </w:p>
    <w:p>
      <w:pPr>
        <w:pStyle w:val="ListParagraph"/>
        <w:numPr>
          <w:ilvl w:val="0"/>
          <w:numId w:val="2"/>
        </w:numPr>
        <w:spacing w:after="40" w:before="40"/>
      </w:pPr>
      <w:r>
        <w:rPr>
          <w:rFonts w:ascii="Arial" w:cs="Arial" w:eastAsia="Arial" w:hAnsi="Arial"/>
          <w:color w:val="1A1A2E"/>
          <w:sz w:val="20"/>
          <w:szCs w:val="20"/>
        </w:rPr>
        <w:t xml:space="preserve">Gate portfolio features with upgrade modal pointing to Portfolio Pro</w:t>
      </w:r>
    </w:p>
    <w:p>
      <w:pPr>
        <w:pStyle w:val="ListParagraph"/>
        <w:numPr>
          <w:ilvl w:val="0"/>
          <w:numId w:val="2"/>
        </w:numPr>
        <w:spacing w:after="40" w:before="40"/>
      </w:pPr>
      <w:r>
        <w:rPr>
          <w:rFonts w:ascii="Arial" w:cs="Arial" w:eastAsia="Arial" w:hAnsi="Arial"/>
          <w:color w:val="1A1A2E"/>
          <w:sz w:val="20"/>
          <w:szCs w:val="20"/>
        </w:rPr>
        <w:t xml:space="preserve">Gate admin/setup with 30-day trial flow pointing to Adviser Pro</w:t>
      </w:r>
    </w:p>
    <w:p>
      <w:pPr>
        <w:pStyle w:val="Heading2"/>
        <w:spacing w:after="120" w:before="240"/>
      </w:pPr>
      <w:r>
        <w:rPr>
          <w:rFonts w:ascii="Arial" w:cs="Arial" w:eastAsia="Arial" w:hAnsi="Arial"/>
          <w:b/>
          <w:bCs/>
          <w:color w:val="2D2D44"/>
          <w:sz w:val="26"/>
          <w:szCs w:val="26"/>
        </w:rPr>
        <w:t xml:space="preserve">11.2 Week 2 — Adviser Onboarding</w:t>
      </w:r>
    </w:p>
    <w:p>
      <w:pPr>
        <w:pStyle w:val="ListParagraph"/>
        <w:numPr>
          <w:ilvl w:val="0"/>
          <w:numId w:val="2"/>
        </w:numPr>
        <w:spacing w:after="40" w:before="40"/>
      </w:pPr>
      <w:r>
        <w:rPr>
          <w:rFonts w:ascii="Arial" w:cs="Arial" w:eastAsia="Arial" w:hAnsi="Arial"/>
          <w:color w:val="1A1A2E"/>
          <w:sz w:val="20"/>
          <w:szCs w:val="20"/>
        </w:rPr>
        <w:t xml:space="preserve">30-day free trial flow: email signup → SetupWizard (brand colour, subdomain, AI persona) → full Pro access</w:t>
      </w:r>
    </w:p>
    <w:p>
      <w:pPr>
        <w:pStyle w:val="ListParagraph"/>
        <w:numPr>
          <w:ilvl w:val="0"/>
          <w:numId w:val="2"/>
        </w:numPr>
        <w:spacing w:after="40" w:before="40"/>
      </w:pPr>
      <w:r>
        <w:rPr>
          <w:rFonts w:ascii="Arial" w:cs="Arial" w:eastAsia="Arial" w:hAnsi="Arial"/>
          <w:color w:val="1A1A2E"/>
          <w:sz w:val="20"/>
          <w:szCs w:val="20"/>
        </w:rPr>
        <w:t xml:space="preserve">End-of-trial email sequence: day 25 reminder, day 30 choose Starter or Pro (or lose access)</w:t>
      </w:r>
    </w:p>
    <w:p>
      <w:pPr>
        <w:pStyle w:val="ListParagraph"/>
        <w:numPr>
          <w:ilvl w:val="0"/>
          <w:numId w:val="2"/>
        </w:numPr>
        <w:spacing w:after="40" w:before="40"/>
      </w:pPr>
      <w:r>
        <w:rPr>
          <w:rFonts w:ascii="Arial" w:cs="Arial" w:eastAsia="Arial" w:hAnsi="Arial"/>
          <w:color w:val="1A1A2E"/>
          <w:sz w:val="20"/>
          <w:szCs w:val="20"/>
        </w:rPr>
        <w:t xml:space="preserve">Adviser Pro gates: 'Analyse Market' button locked behind Pro badge for Starter users</w:t>
      </w:r>
    </w:p>
    <w:p>
      <w:pPr>
        <w:pStyle w:val="Heading2"/>
        <w:spacing w:after="120" w:before="240"/>
      </w:pPr>
      <w:r>
        <w:rPr>
          <w:rFonts w:ascii="Arial" w:cs="Arial" w:eastAsia="Arial" w:hAnsi="Arial"/>
          <w:b/>
          <w:bCs/>
          <w:color w:val="2D2D44"/>
          <w:sz w:val="26"/>
          <w:szCs w:val="26"/>
        </w:rPr>
        <w:t xml:space="preserve">11.3 Month 2 — Growth</w:t>
      </w:r>
    </w:p>
    <w:p>
      <w:pPr>
        <w:pStyle w:val="ListParagraph"/>
        <w:numPr>
          <w:ilvl w:val="0"/>
          <w:numId w:val="2"/>
        </w:numPr>
        <w:spacing w:after="40" w:before="40"/>
      </w:pPr>
      <w:r>
        <w:rPr>
          <w:rFonts w:ascii="Arial" w:cs="Arial" w:eastAsia="Arial" w:hAnsi="Arial"/>
          <w:color w:val="1A1A2E"/>
          <w:sz w:val="20"/>
          <w:szCs w:val="20"/>
        </w:rPr>
        <w:t xml:space="preserve">'RealSight vs DXBinteract' content for Dubai agent LinkedIn and Instagram</w:t>
      </w:r>
    </w:p>
    <w:p>
      <w:pPr>
        <w:pStyle w:val="ListParagraph"/>
        <w:numPr>
          <w:ilvl w:val="0"/>
          <w:numId w:val="2"/>
        </w:numPr>
        <w:spacing w:after="40" w:before="40"/>
      </w:pPr>
      <w:r>
        <w:rPr>
          <w:rFonts w:ascii="Arial" w:cs="Arial" w:eastAsia="Arial" w:hAnsi="Arial"/>
          <w:color w:val="1A1A2E"/>
          <w:sz w:val="20"/>
          <w:szCs w:val="20"/>
        </w:rPr>
        <w:t xml:space="preserve">Referral programme: adviser earns 1 month free for each referred adviser who completes trial and subscribes</w:t>
      </w:r>
    </w:p>
    <w:p>
      <w:pPr>
        <w:pStyle w:val="ListParagraph"/>
        <w:numPr>
          <w:ilvl w:val="0"/>
          <w:numId w:val="2"/>
        </w:numPr>
        <w:spacing w:after="40" w:before="40"/>
      </w:pPr>
      <w:r>
        <w:rPr>
          <w:rFonts w:ascii="Arial" w:cs="Arial" w:eastAsia="Arial" w:hAnsi="Arial"/>
          <w:color w:val="1A1A2E"/>
          <w:sz w:val="20"/>
          <w:szCs w:val="20"/>
        </w:rPr>
        <w:t xml:space="preserve">Portfolio Pro upgrade flow: investors who join through an adviser's subdomain see the $29/month pitch contextually</w:t>
      </w:r>
    </w:p>
    <w:p>
      <w:pPr>
        <w:spacing w:after="0" w:before="120"/>
      </w:pPr>
      <w:r>
        <w:t xml:space="preserve"/>
      </w:r>
    </w:p>
    <w:p>
      <w:r>
        <w:br w:type="page"/>
      </w:r>
    </w:p>
    <w:p>
      <w:pPr>
        <w:pStyle w:val="Heading1"/>
        <w:pBdr>
          <w:bottom w:val="single" w:color="CAAF6C" w:sz="8" w:space="4"/>
        </w:pBdr>
        <w:spacing w:after="160" w:before="320"/>
      </w:pPr>
      <w:r>
        <w:rPr>
          <w:rFonts w:ascii="Arial" w:cs="Arial" w:eastAsia="Arial" w:hAnsi="Arial"/>
          <w:b/>
          <w:bCs/>
          <w:color w:val="1A1A2E"/>
          <w:sz w:val="36"/>
          <w:szCs w:val="36"/>
        </w:rPr>
        <w:t xml:space="preserve">12. Technical Implementation Notes</w:t>
      </w:r>
    </w:p>
    <w:p>
      <w:pPr>
        <w:pStyle w:val="Heading2"/>
        <w:spacing w:after="120" w:before="240"/>
      </w:pPr>
      <w:r>
        <w:rPr>
          <w:rFonts w:ascii="Arial" w:cs="Arial" w:eastAsia="Arial" w:hAnsi="Arial"/>
          <w:b/>
          <w:bCs/>
          <w:color w:val="2D2D44"/>
          <w:sz w:val="26"/>
          <w:szCs w:val="26"/>
        </w:rPr>
        <w:t xml:space="preserve">12.1 Stripe Products (USD)</w:t>
      </w:r>
    </w:p>
    <w:p>
      <w:pPr>
        <w:pStyle w:val="ListParagraph"/>
        <w:numPr>
          <w:ilvl w:val="0"/>
          <w:numId w:val="2"/>
        </w:numPr>
        <w:spacing w:after="40" w:before="40"/>
      </w:pPr>
      <w:r>
        <w:rPr>
          <w:rFonts w:ascii="Arial" w:cs="Arial" w:eastAsia="Arial" w:hAnsi="Arial"/>
          <w:color w:val="1A1A2E"/>
          <w:sz w:val="20"/>
          <w:szCs w:val="20"/>
        </w:rPr>
        <w:t xml:space="preserve">prod_portfolio_pro → $29/month, $276/year</w:t>
      </w:r>
    </w:p>
    <w:p>
      <w:pPr>
        <w:pStyle w:val="ListParagraph"/>
        <w:numPr>
          <w:ilvl w:val="0"/>
          <w:numId w:val="2"/>
        </w:numPr>
        <w:spacing w:after="40" w:before="40"/>
      </w:pPr>
      <w:r>
        <w:rPr>
          <w:rFonts w:ascii="Arial" w:cs="Arial" w:eastAsia="Arial" w:hAnsi="Arial"/>
          <w:color w:val="1A1A2E"/>
          <w:sz w:val="20"/>
          <w:szCs w:val="20"/>
        </w:rPr>
        <w:t xml:space="preserve">prod_adviser_starter → $99/month, $948/year</w:t>
      </w:r>
    </w:p>
    <w:p>
      <w:pPr>
        <w:pStyle w:val="ListParagraph"/>
        <w:numPr>
          <w:ilvl w:val="0"/>
          <w:numId w:val="2"/>
        </w:numPr>
        <w:spacing w:after="40" w:before="40"/>
      </w:pPr>
      <w:r>
        <w:rPr>
          <w:rFonts w:ascii="Arial" w:cs="Arial" w:eastAsia="Arial" w:hAnsi="Arial"/>
          <w:color w:val="1A1A2E"/>
          <w:sz w:val="20"/>
          <w:szCs w:val="20"/>
        </w:rPr>
        <w:t xml:space="preserve">prod_adviser_pro → $199/month, $1,908/year</w:t>
      </w:r>
    </w:p>
    <w:p>
      <w:pPr>
        <w:spacing w:after="60" w:before="60"/>
      </w:pPr>
      <w:r>
        <w:rPr>
          <w:rFonts w:ascii="Arial" w:cs="Arial" w:eastAsia="Arial" w:hAnsi="Arial"/>
          <w:b w:val="false"/>
          <w:bCs w:val="false"/>
          <w:i w:val="false"/>
          <w:iCs w:val="false"/>
          <w:color w:val="1A1A2E"/>
          <w:sz w:val="20"/>
          <w:szCs w:val="20"/>
        </w:rPr>
        <w:t xml:space="preserve">Stripe also creates a free trial coupon (100% off, 30 days) applied to Adviser Pro at signup. No payment method required for trial — Stripe handles the payment collection at trial end.</w:t>
      </w:r>
    </w:p>
    <w:p>
      <w:pPr>
        <w:spacing w:after="0" w:before="80"/>
      </w:pPr>
      <w:r>
        <w:t xml:space="preserve"/>
      </w:r>
    </w:p>
    <w:p>
      <w:pPr>
        <w:pStyle w:val="Heading2"/>
        <w:spacing w:after="120" w:before="240"/>
      </w:pPr>
      <w:r>
        <w:rPr>
          <w:rFonts w:ascii="Arial" w:cs="Arial" w:eastAsia="Arial" w:hAnsi="Arial"/>
          <w:b/>
          <w:bCs/>
          <w:color w:val="2D2D44"/>
          <w:sz w:val="26"/>
          <w:szCs w:val="26"/>
        </w:rPr>
        <w:t xml:space="preserve">12.2 Supabase subscription_tier Values</w:t>
      </w:r>
    </w:p>
    <w:p>
      <w:pPr>
        <w:pStyle w:val="ListParagraph"/>
        <w:numPr>
          <w:ilvl w:val="0"/>
          <w:numId w:val="2"/>
        </w:numPr>
        <w:spacing w:after="40" w:before="40"/>
      </w:pPr>
      <w:r>
        <w:rPr>
          <w:rFonts w:ascii="Arial" w:cs="Arial" w:eastAsia="Arial" w:hAnsi="Arial"/>
          <w:color w:val="1A1A2E"/>
          <w:sz w:val="20"/>
          <w:szCs w:val="20"/>
        </w:rPr>
        <w:t xml:space="preserve">'free' → Explorer (default)</w:t>
      </w:r>
    </w:p>
    <w:p>
      <w:pPr>
        <w:pStyle w:val="ListParagraph"/>
        <w:numPr>
          <w:ilvl w:val="0"/>
          <w:numId w:val="2"/>
        </w:numPr>
        <w:spacing w:after="40" w:before="40"/>
      </w:pPr>
      <w:r>
        <w:rPr>
          <w:rFonts w:ascii="Arial" w:cs="Arial" w:eastAsia="Arial" w:hAnsi="Arial"/>
          <w:color w:val="1A1A2E"/>
          <w:sz w:val="20"/>
          <w:szCs w:val="20"/>
        </w:rPr>
        <w:t xml:space="preserve">'portfolio_pro' → Portfolio Pro</w:t>
      </w:r>
    </w:p>
    <w:p>
      <w:pPr>
        <w:pStyle w:val="ListParagraph"/>
        <w:numPr>
          <w:ilvl w:val="0"/>
          <w:numId w:val="2"/>
        </w:numPr>
        <w:spacing w:after="40" w:before="40"/>
      </w:pPr>
      <w:r>
        <w:rPr>
          <w:rFonts w:ascii="Arial" w:cs="Arial" w:eastAsia="Arial" w:hAnsi="Arial"/>
          <w:color w:val="1A1A2E"/>
          <w:sz w:val="20"/>
          <w:szCs w:val="20"/>
        </w:rPr>
        <w:t xml:space="preserve">'adviser_starter' → Adviser Starter</w:t>
      </w:r>
    </w:p>
    <w:p>
      <w:pPr>
        <w:pStyle w:val="ListParagraph"/>
        <w:numPr>
          <w:ilvl w:val="0"/>
          <w:numId w:val="2"/>
        </w:numPr>
        <w:spacing w:after="40" w:before="40"/>
      </w:pPr>
      <w:r>
        <w:rPr>
          <w:rFonts w:ascii="Arial" w:cs="Arial" w:eastAsia="Arial" w:hAnsi="Arial"/>
          <w:color w:val="1A1A2E"/>
          <w:sz w:val="20"/>
          <w:szCs w:val="20"/>
        </w:rPr>
        <w:t xml:space="preserve">'adviser_pro' → Adviser Pro</w:t>
      </w:r>
    </w:p>
    <w:p>
      <w:pPr>
        <w:pStyle w:val="ListParagraph"/>
        <w:numPr>
          <w:ilvl w:val="0"/>
          <w:numId w:val="2"/>
        </w:numPr>
        <w:spacing w:after="40" w:before="40"/>
      </w:pPr>
      <w:r>
        <w:rPr>
          <w:rFonts w:ascii="Arial" w:cs="Arial" w:eastAsia="Arial" w:hAnsi="Arial"/>
          <w:color w:val="1A1A2E"/>
          <w:sz w:val="20"/>
          <w:szCs w:val="20"/>
        </w:rPr>
        <w:t xml:space="preserve">'adviser_trial' → during 30-day trial (full Pro access, no charge)</w:t>
      </w:r>
    </w:p>
    <w:p>
      <w:pPr>
        <w:spacing w:after="0" w:before="80"/>
      </w:pPr>
      <w:r>
        <w:t xml:space="preserve"/>
      </w:r>
    </w:p>
    <w:p>
      <w:pPr>
        <w:pStyle w:val="Heading2"/>
        <w:spacing w:after="120" w:before="240"/>
      </w:pPr>
      <w:r>
        <w:rPr>
          <w:rFonts w:ascii="Arial" w:cs="Arial" w:eastAsia="Arial" w:hAnsi="Arial"/>
          <w:b/>
          <w:bCs/>
          <w:color w:val="2D2D44"/>
          <w:sz w:val="26"/>
          <w:szCs w:val="26"/>
        </w:rPr>
        <w:t xml:space="preserve">12.3 Feature Gates</w:t>
      </w:r>
    </w:p>
    <w:p>
      <w:pPr>
        <w:pStyle w:val="ListParagraph"/>
        <w:numPr>
          <w:ilvl w:val="0"/>
          <w:numId w:val="2"/>
        </w:numPr>
        <w:spacing w:after="40" w:before="40"/>
      </w:pPr>
      <w:r>
        <w:rPr>
          <w:rFonts w:ascii="Arial" w:cs="Arial" w:eastAsia="Arial" w:hAnsi="Arial"/>
          <w:color w:val="1A1A2E"/>
          <w:sz w:val="20"/>
          <w:szCs w:val="20"/>
        </w:rPr>
        <w:t xml:space="preserve">/portfolio → requires portfolio_pro, adviser_starter, adviser_pro, adviser_trial</w:t>
      </w:r>
    </w:p>
    <w:p>
      <w:pPr>
        <w:pStyle w:val="ListParagraph"/>
        <w:numPr>
          <w:ilvl w:val="0"/>
          <w:numId w:val="2"/>
        </w:numPr>
        <w:spacing w:after="40" w:before="40"/>
      </w:pPr>
      <w:r>
        <w:rPr>
          <w:rFonts w:ascii="Arial" w:cs="Arial" w:eastAsia="Arial" w:hAnsi="Arial"/>
          <w:color w:val="1A1A2E"/>
          <w:sz w:val="20"/>
          <w:szCs w:val="20"/>
        </w:rPr>
        <w:t xml:space="preserve">/portfolio/add → upgrade prompt for 'free' users</w:t>
      </w:r>
    </w:p>
    <w:p>
      <w:pPr>
        <w:pStyle w:val="ListParagraph"/>
        <w:numPr>
          <w:ilvl w:val="0"/>
          <w:numId w:val="2"/>
        </w:numPr>
        <w:spacing w:after="40" w:before="40"/>
      </w:pPr>
      <w:r>
        <w:rPr>
          <w:rFonts w:ascii="Arial" w:cs="Arial" w:eastAsia="Arial" w:hAnsi="Arial"/>
          <w:color w:val="1A1A2E"/>
          <w:sz w:val="20"/>
          <w:szCs w:val="20"/>
        </w:rPr>
        <w:t xml:space="preserve">/admin/* → adviser tiers only</w:t>
      </w:r>
    </w:p>
    <w:p>
      <w:pPr>
        <w:pStyle w:val="ListParagraph"/>
        <w:numPr>
          <w:ilvl w:val="0"/>
          <w:numId w:val="2"/>
        </w:numPr>
        <w:spacing w:after="40" w:before="40"/>
      </w:pPr>
      <w:r>
        <w:rPr>
          <w:rFonts w:ascii="Arial" w:cs="Arial" w:eastAsia="Arial" w:hAnsi="Arial"/>
          <w:color w:val="1A1A2E"/>
          <w:sz w:val="20"/>
          <w:szCs w:val="20"/>
        </w:rPr>
        <w:t xml:space="preserve">/admin/off-plan-analysis → adviser_pro and adviser_trial only</w:t>
      </w:r>
    </w:p>
    <w:p>
      <w:pPr>
        <w:pStyle w:val="ListParagraph"/>
        <w:numPr>
          <w:ilvl w:val="0"/>
          <w:numId w:val="2"/>
        </w:numPr>
        <w:spacing w:after="40" w:before="40"/>
      </w:pPr>
      <w:r>
        <w:rPr>
          <w:rFonts w:ascii="Arial" w:cs="Arial" w:eastAsia="Arial" w:hAnsi="Arial"/>
          <w:color w:val="1A1A2E"/>
          <w:sz w:val="20"/>
          <w:szCs w:val="20"/>
        </w:rPr>
        <w:t xml:space="preserve">'Analyse Market' button → adviser_pro and adviser_trial only — shows lock icon with upgrade CTA for adviser_starter</w:t>
      </w:r>
    </w:p>
    <w:p>
      <w:pPr>
        <w:spacing w:after="0" w:before="80"/>
      </w:pPr>
      <w:r>
        <w:t xml:space="preserve"/>
      </w:r>
    </w:p>
    <w:p>
      <w:pPr>
        <w:pStyle w:val="Heading2"/>
        <w:spacing w:after="120" w:before="240"/>
      </w:pPr>
      <w:r>
        <w:rPr>
          <w:rFonts w:ascii="Arial" w:cs="Arial" w:eastAsia="Arial" w:hAnsi="Arial"/>
          <w:b/>
          <w:bCs/>
          <w:color w:val="2D2D44"/>
          <w:sz w:val="26"/>
          <w:szCs w:val="26"/>
        </w:rPr>
        <w:t xml:space="preserve">12.4 AI Analysis Edge Function</w:t>
      </w:r>
    </w:p>
    <w:p>
      <w:pPr>
        <w:spacing w:after="60" w:before="60"/>
      </w:pPr>
      <w:r>
        <w:rPr>
          <w:rFonts w:ascii="Arial" w:cs="Arial" w:eastAsia="Arial" w:hAnsi="Arial"/>
          <w:b w:val="false"/>
          <w:bCs w:val="false"/>
          <w:i w:val="false"/>
          <w:iCs w:val="false"/>
          <w:color w:val="1A1A2E"/>
          <w:sz w:val="20"/>
          <w:szCs w:val="20"/>
        </w:rPr>
        <w:t xml:space="preserve">POST /api/analyse-project — accepts { projectId, tenantId }. Validates plan tier (must be adviser_pro or adviser_trial), assembles market context from Supabase tables, calls Anthropic API (claude-haiku-4-5), returns structured JSON. Cache result per projectId for 24 hours to control API costs.</w:t>
      </w:r>
    </w:p>
    <w:p>
      <w:pPr>
        <w:spacing w:after="0" w:before="120"/>
      </w:pPr>
      <w:r>
        <w:t xml:space="preserve"/>
      </w:r>
    </w:p>
    <w:p>
      <w:pPr>
        <w:pStyle w:val="Heading1"/>
        <w:pBdr>
          <w:bottom w:val="single" w:color="CAAF6C" w:sz="8" w:space="4"/>
        </w:pBdr>
        <w:spacing w:after="160" w:before="320"/>
      </w:pPr>
      <w:r>
        <w:rPr>
          <w:rFonts w:ascii="Arial" w:cs="Arial" w:eastAsia="Arial" w:hAnsi="Arial"/>
          <w:b/>
          <w:bCs/>
          <w:color w:val="1A1A2E"/>
          <w:sz w:val="36"/>
          <w:szCs w:val="36"/>
        </w:rPr>
        <w:t xml:space="preserve">13. Summary</w:t>
      </w:r>
    </w:p>
    <w:p>
      <w:pPr>
        <w:spacing w:after="60" w:before="60"/>
      </w:pPr>
      <w:r>
        <w:rPr>
          <w:rFonts w:ascii="Arial" w:cs="Arial" w:eastAsia="Arial" w:hAnsi="Arial"/>
          <w:b w:val="false"/>
          <w:bCs w:val="false"/>
          <w:i w:val="false"/>
          <w:iCs w:val="false"/>
          <w:color w:val="1A1A2E"/>
          <w:sz w:val="20"/>
          <w:szCs w:val="20"/>
        </w:rPr>
        <w:t xml:space="preserve">The v2.0 plan architecture strips out complexity and accelerates launch. Two adviser tiers. One clear upgrade driver (AI Off-Plan Analysis). One acquisition mechanic (30-day free Pro trial). All prices in USD for global positioning.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Action</w:t>
            </w:r>
          </w:p>
        </w:tc>
        <w:tc>
          <w:tcPr>
            <w:tcW w:type="dxa" w:w="4320"/>
            <w:tcBorders>
              <w:top w:val="single" w:color="1A1A2E" w:sz="1"/>
              <w:left w:val="single" w:color="1A1A2E" w:sz="1"/>
              <w:bottom w:val="single" w:color="1A1A2E" w:sz="1"/>
              <w:right w:val="single" w:color="1A1A2E" w:sz="1"/>
            </w:tcBorders>
            <w:shd w:fill="1A1A2E" w:val="clear"/>
            <w:tcMar>
              <w:top w:type="dxa" w:w="100"/>
              <w:left w:type="dxa" w:w="100"/>
              <w:bottom w:type="dxa" w:w="100"/>
              <w:right w:type="dxa" w:w="100"/>
            </w:tcMar>
            <w:vAlign w:val="center"/>
          </w:tcPr>
          <w:p>
            <w:pPr>
              <w:jc w:val="center"/>
            </w:pPr>
            <w:r>
              <w:rPr>
                <w:rFonts w:ascii="Arial" w:cs="Arial" w:eastAsia="Arial" w:hAnsi="Arial"/>
                <w:b/>
                <w:bCs/>
                <w:color w:val="CAAF6C"/>
                <w:sz w:val="18"/>
                <w:szCs w:val="18"/>
              </w:rPr>
              <w:t xml:space="preserve">When</w:t>
            </w:r>
          </w:p>
        </w:tc>
      </w:tr>
      <w:tr>
        <w:tc>
          <w:tcPr>
            <w:tcW w:type="dxa" w:w="504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Launch Explorer (free) with full DLD + Reelly basic data</w:t>
            </w:r>
          </w:p>
        </w:tc>
        <w:tc>
          <w:tcPr>
            <w:tcW w:type="dxa" w:w="43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20"/>
                <w:szCs w:val="20"/>
              </w:rPr>
              <w:t xml:space="preserve">Week 1 — Critical</w:t>
            </w:r>
          </w:p>
        </w:tc>
      </w:tr>
      <w:tr>
        <w:tc>
          <w:tcPr>
            <w:tcW w:type="dxa" w:w="50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Wire Stripe: Portfolio Pro + Adviser Starter billing</w:t>
            </w:r>
          </w:p>
        </w:tc>
        <w:tc>
          <w:tcPr>
            <w:tcW w:type="dxa" w:w="432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20"/>
                <w:szCs w:val="20"/>
              </w:rPr>
              <w:t xml:space="preserve">Week 1 — Critical</w:t>
            </w:r>
          </w:p>
        </w:tc>
      </w:tr>
      <w:tr>
        <w:tc>
          <w:tcPr>
            <w:tcW w:type="dxa" w:w="504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30-day Adviser Pro free trial flow (no card required)</w:t>
            </w:r>
          </w:p>
        </w:tc>
        <w:tc>
          <w:tcPr>
            <w:tcW w:type="dxa" w:w="43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20"/>
                <w:szCs w:val="20"/>
              </w:rPr>
              <w:t xml:space="preserve">Week 1 — Critical</w:t>
            </w:r>
          </w:p>
        </w:tc>
      </w:tr>
      <w:tr>
        <w:tc>
          <w:tcPr>
            <w:tcW w:type="dxa" w:w="50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Gate portfolio + admin features by tier</w:t>
            </w:r>
          </w:p>
        </w:tc>
        <w:tc>
          <w:tcPr>
            <w:tcW w:type="dxa" w:w="432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bCs/>
                <w:i w:val="false"/>
                <w:iCs w:val="false"/>
                <w:color w:val="1E7A4A"/>
                <w:sz w:val="20"/>
                <w:szCs w:val="20"/>
              </w:rPr>
              <w:t xml:space="preserve">Week 1–2 — Critical</w:t>
            </w:r>
          </w:p>
        </w:tc>
      </w:tr>
      <w:tr>
        <w:tc>
          <w:tcPr>
            <w:tcW w:type="dxa" w:w="504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AI Off-Plan Market Analysis (Adviser Pro flagship)</w:t>
            </w:r>
          </w:p>
        </w:tc>
        <w:tc>
          <w:tcPr>
            <w:tcW w:type="dxa" w:w="43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Week 2 — High priority</w:t>
            </w:r>
          </w:p>
        </w:tc>
      </w:tr>
      <w:tr>
        <w:tc>
          <w:tcPr>
            <w:tcW w:type="dxa" w:w="50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End-of-trial email sequence (days 25, 30)</w:t>
            </w:r>
          </w:p>
        </w:tc>
        <w:tc>
          <w:tcPr>
            <w:tcW w:type="dxa" w:w="432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Week 2 — High priority</w:t>
            </w:r>
          </w:p>
        </w:tc>
      </w:tr>
      <w:tr>
        <w:tc>
          <w:tcPr>
            <w:tcW w:type="dxa" w:w="504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'RealSight vs DXBinteract' outreach content</w:t>
            </w:r>
          </w:p>
        </w:tc>
        <w:tc>
          <w:tcPr>
            <w:tcW w:type="dxa" w:w="43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Week 2–3 — High priority</w:t>
            </w:r>
          </w:p>
        </w:tc>
      </w:tr>
      <w:tr>
        <w:tc>
          <w:tcPr>
            <w:tcW w:type="dxa" w:w="50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Referral programme for adviser acquisition</w:t>
            </w:r>
          </w:p>
        </w:tc>
        <w:tc>
          <w:tcPr>
            <w:tcW w:type="dxa" w:w="432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4A4A6A"/>
                <w:sz w:val="20"/>
                <w:szCs w:val="20"/>
              </w:rPr>
              <w:t xml:space="preserve">Month 2</w:t>
            </w:r>
          </w:p>
        </w:tc>
      </w:tr>
      <w:tr>
        <w:tc>
          <w:tcPr>
            <w:tcW w:type="dxa" w:w="504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Adviser Pro → custom domain or team seats (future)</w:t>
            </w:r>
          </w:p>
        </w:tc>
        <w:tc>
          <w:tcPr>
            <w:tcW w:type="dxa" w:w="4320"/>
            <w:gridSpan w:val="1"/>
            <w:tcBorders>
              <w:top w:val="single" w:color="DDDDE8" w:sz="1"/>
              <w:left w:val="single" w:color="DDDDE8" w:sz="1"/>
              <w:bottom w:val="single" w:color="DDDDE8" w:sz="1"/>
              <w:right w:val="single" w:color="DDDDE8"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4A4A6A"/>
                <w:sz w:val="20"/>
                <w:szCs w:val="20"/>
              </w:rPr>
              <w:t xml:space="preserve">Month 3+</w:t>
            </w:r>
          </w:p>
        </w:tc>
      </w:tr>
      <w:tr>
        <w:tc>
          <w:tcPr>
            <w:tcW w:type="dxa" w:w="504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20"/>
                <w:szCs w:val="20"/>
              </w:rPr>
              <w:t xml:space="preserve">International market expansion (US, UK, Singapore)</w:t>
            </w:r>
          </w:p>
        </w:tc>
        <w:tc>
          <w:tcPr>
            <w:tcW w:type="dxa" w:w="4320"/>
            <w:gridSpan w:val="1"/>
            <w:tcBorders>
              <w:top w:val="single" w:color="DDDDE8" w:sz="1"/>
              <w:left w:val="single" w:color="DDDDE8" w:sz="1"/>
              <w:bottom w:val="single" w:color="DDDDE8" w:sz="1"/>
              <w:right w:val="single" w:color="DDDDE8" w:sz="1"/>
            </w:tcBorders>
            <w:shd w:fill="F4F4F8"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4A4A6A"/>
                <w:sz w:val="20"/>
                <w:szCs w:val="20"/>
              </w:rPr>
              <w:t xml:space="preserve">Month 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CAAF6C" w:val="clear"/>
          </w:tcPr>
          <w:p>
            <w:r>
              <w:t xml:space="preserve"/>
            </w:r>
          </w:p>
        </w:tc>
        <w:tc>
          <w:tcPr>
            <w:tcW w:type="dxa" w:w="9200"/>
            <w:tcBorders>
              <w:top w:val="single" w:color="F0E8D0" w:sz="1"/>
              <w:left w:val="single" w:color="CAAF6C" w:sz="1"/>
              <w:bottom w:val="single" w:color="F0E8D0" w:sz="1"/>
              <w:right w:val="single" w:color="F0E8D0" w:sz="1"/>
            </w:tcBorders>
            <w:shd w:fill="F0E8D0" w:val="clear"/>
            <w:tcMar>
              <w:top w:type="dxa" w:w="100"/>
              <w:left w:type="dxa" w:w="160"/>
              <w:bottom w:type="dxa" w:w="100"/>
              <w:right w:type="dxa" w:w="160"/>
            </w:tcMar>
          </w:tcPr>
          <w:p>
            <w:r>
              <w:rPr>
                <w:rFonts w:ascii="Arial" w:cs="Arial" w:eastAsia="Arial" w:hAnsi="Arial"/>
                <w:i/>
                <w:iCs/>
                <w:color w:val="1A1A2E"/>
                <w:sz w:val="20"/>
                <w:szCs w:val="20"/>
              </w:rPr>
              <w:t xml:space="preserve">Final thought: keep the plans simple at launch. Two adviser tiers. One trial. One killer feature (AI analysis). If the trial converts, the product has earned its price. Build from there.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AAF6C" w:sz="4" w:space="4"/>
      </w:pBdr>
    </w:pPr>
    <w:r>
      <w:rPr>
        <w:rFonts w:ascii="Arial" w:cs="Arial" w:eastAsia="Arial" w:hAnsi="Arial"/>
        <w:b/>
        <w:bCs/>
        <w:color w:val="CAAF6C"/>
        <w:sz w:val="16"/>
        <w:szCs w:val="16"/>
      </w:rPr>
      <w:t xml:space="preserve">realsight.app</w:t>
    </w:r>
    <w:r>
      <w:rPr>
        <w:rFonts w:ascii="Arial" w:cs="Arial" w:eastAsia="Arial" w:hAnsi="Arial"/>
        <w:color w:val="AAAAAA"/>
        <w:sz w:val="16"/>
        <w:szCs w:val="16"/>
      </w:rPr>
      <w:t xml:space="preserve">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AF6C" w:sz="6" w:space="4"/>
      </w:pBdr>
    </w:pPr>
    <w:r>
      <w:rPr>
        <w:rFonts w:ascii="Arial" w:cs="Arial" w:eastAsia="Arial" w:hAnsi="Arial"/>
        <w:color w:val="4A4A6A"/>
        <w:sz w:val="18"/>
        <w:szCs w:val="18"/>
      </w:rPr>
      <w:t xml:space="preserve">RealSight — Pricing Strategy v2.0</w:t>
    </w:r>
    <w:r>
      <w:rPr>
        <w:rFonts w:ascii="Arial" w:cs="Arial" w:eastAsia="Arial" w:hAnsi="Arial"/>
        <w:color w:val="AAAAAA"/>
        <w:sz w:val="16"/>
        <w:szCs w:val="16"/>
      </w:rPr>
      <w:t xml:space="preserve">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D2D4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2026-04-13T13:29:00.830Z</dcterms:created>
  <dcterms:modified xsi:type="dcterms:W3CDTF">2026-04-13T13:29:00.830Z</dcterms:modified>
</cp:coreProperties>
</file>

<file path=docProps/custom.xml><?xml version="1.0" encoding="utf-8"?>
<Properties xmlns="http://schemas.openxmlformats.org/officeDocument/2006/custom-properties" xmlns:vt="http://schemas.openxmlformats.org/officeDocument/2006/docPropsVTypes"/>
</file>