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jc w:val="center"/>
      </w:pPr>
      <w:r>
        <w:rPr>
          <w:rFonts w:ascii="Arial" w:cs="Arial" w:eastAsia="Arial" w:hAnsi="Arial"/>
          <w:b/>
          <w:bCs/>
          <w:color w:val="1B3A5C"/>
          <w:sz w:val="40"/>
          <w:szCs w:val="40"/>
        </w:rPr>
        <w:t xml:space="preserve">TRACK-MED BILLING SOLUTIONS</w:t>
      </w:r>
    </w:p>
    <w:p>
      <w:pPr>
        <w:spacing w:after="60"/>
        <w:jc w:val="center"/>
      </w:pPr>
      <w:r>
        <w:rPr>
          <w:rFonts w:ascii="Arial" w:cs="Arial" w:eastAsia="Arial" w:hAnsi="Arial"/>
          <w:color w:val="6B7280"/>
          <w:sz w:val="26"/>
          <w:szCs w:val="26"/>
        </w:rPr>
        <w:t xml:space="preserve">Revenue Cycle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0D5DD" w:sz="1"/>
              <w:right w:val="none" w:sz="0"/>
            </w:tcBorders>
          </w:tcPr>
          <w:p>
            <w:pPr>
              <w:spacing w:before="100" w:after="100"/>
            </w:pPr>
          </w:p>
        </w:tc>
      </w:tr>
    </w:tbl>
    <w:p>
      <w:pPr>
        <w:spacing w:before="300" w:after="100"/>
        <w:jc w:val="center"/>
      </w:pPr>
      <w:r>
        <w:rPr>
          <w:rFonts w:ascii="Arial" w:cs="Arial" w:eastAsia="Arial" w:hAnsi="Arial"/>
          <w:b/>
          <w:bCs/>
          <w:color w:val="374151"/>
          <w:sz w:val="34"/>
          <w:szCs w:val="34"/>
        </w:rPr>
        <w:t xml:space="preserve">First-Call Engagement Script</w:t>
      </w:r>
    </w:p>
    <w:p>
      <w:pPr>
        <w:spacing w:after="400"/>
        <w:jc w:val="center"/>
      </w:pPr>
      <w:r>
        <w:rPr>
          <w:rFonts w:ascii="Arial" w:cs="Arial" w:eastAsia="Arial" w:hAnsi="Arial"/>
          <w:color w:val="6B7280"/>
          <w:sz w:val="22"/>
          <w:szCs w:val="22"/>
        </w:rPr>
        <w:t xml:space="preserve">For Solo Practices &amp; Small Healthcare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FF8E6" w:val="clear"/>
            <w:tcMar>
              <w:top w:type="dxa" w:w="120"/>
              <w:left w:type="dxa" w:w="180"/>
              <w:bottom w:type="dxa" w:w="120"/>
              <w:right w:type="dxa" w:w="180"/>
            </w:tcMar>
          </w:tcPr>
          <w:p>
            <w:pPr>
              <w:spacing w:after="60"/>
            </w:pPr>
            <w:r>
              <w:rPr>
                <w:rFonts w:ascii="Arial" w:cs="Arial" w:eastAsia="Arial" w:hAnsi="Arial"/>
                <w:b/>
                <w:bCs/>
                <w:color w:val="B7791F"/>
                <w:sz w:val="20"/>
                <w:szCs w:val="20"/>
              </w:rPr>
              <w:t xml:space="preserve">⚠ GOLDEN RULES FOR EVERY CALL</w:t>
            </w:r>
          </w:p>
          <w:p>
            <w:pPr>
              <w:spacing w:after="0"/>
            </w:pPr>
            <w:r>
              <w:rPr>
                <w:rFonts w:ascii="Arial" w:cs="Arial" w:eastAsia="Arial" w:hAnsi="Arial"/>
                <w:sz w:val="20"/>
                <w:szCs w:val="20"/>
              </w:rPr>
              <w:t xml:space="preserve">1. Never sound like you’re reading.   2. Smile before you dial — they hear it.   3. Slow down. Breathe.   4. Their name is the sweetest sound — use it.   5. You’re calling to help, not to sell.   6. Silence is your friend — let them talk.</w:t>
            </w:r>
          </w:p>
        </w:tc>
      </w:tr>
    </w:tbl>
    <w:p>
      <w:r>
        <w:br/>
        <w:t xml:space="preserve"/>
      </w:r>
    </w:p>
    <w:p>
      <w:pPr>
        <w:pStyle w:val="Heading1"/>
        <w:spacing w:before="300" w:after="150"/>
      </w:pPr>
      <w:r>
        <w:rPr>
          <w:rFonts w:ascii="Arial" w:cs="Arial" w:eastAsia="Arial" w:hAnsi="Arial"/>
          <w:b/>
          <w:bCs/>
          <w:color w:val="1B3A5C"/>
        </w:rPr>
        <w:t xml:space="preserve">PHASE 1: Getting Past the Gatekeeper</w:t>
      </w:r>
    </w:p>
    <w:p>
      <w:pPr>
        <w:spacing w:after="120" w:line="276"/>
      </w:pPr>
      <w:r>
        <w:rPr>
          <w:rFonts w:ascii="Arial" w:cs="Arial" w:eastAsia="Arial" w:hAnsi="Arial"/>
          <w:sz w:val="21"/>
          <w:szCs w:val="21"/>
        </w:rPr>
        <w:t xml:space="preserve">The front desk controls access. You have 8 seconds to not sound like a salesperson. The key: sound like you already belong in their world.</w:t>
      </w:r>
    </w:p>
    <w:p>
      <w:pPr>
        <w:pStyle w:val="Heading3"/>
        <w:spacing w:before="200" w:after="100"/>
      </w:pPr>
      <w:r>
        <w:rPr>
          <w:b/>
          <w:bCs/>
          <w:color w:val="2D6A2E"/>
        </w:rPr>
        <w:t xml:space="preserve">OPENER A — The Warm Familiar (Best Option)</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"Hi, this is [YOUR NAME] with Track-Med. I was hoping to catch Dr. [LAST NAME] for just a quick minute — is he/she in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0F7EE" w:val="clear"/>
            <w:tcMar>
              <w:top w:type="dxa" w:w="120"/>
              <w:left w:type="dxa" w:w="180"/>
              <w:bottom w:type="dxa" w:w="120"/>
              <w:right w:type="dxa" w:w="180"/>
            </w:tcMar>
          </w:tcPr>
          <w:p>
            <w:pPr>
              <w:spacing w:after="60"/>
            </w:pPr>
            <w:r>
              <w:rPr>
                <w:rFonts w:ascii="Arial" w:cs="Arial" w:eastAsia="Arial" w:hAnsi="Arial"/>
                <w:b/>
                <w:bCs/>
                <w:color w:val="2D6A2E"/>
                <w:sz w:val="20"/>
                <w:szCs w:val="20"/>
              </w:rPr>
              <w:t xml:space="preserve">✅ WHY THIS WORKS</w:t>
            </w:r>
          </w:p>
          <w:p>
            <w:pPr>
              <w:spacing w:after="0"/>
            </w:pPr>
            <w:r>
              <w:rPr>
                <w:rFonts w:ascii="Arial" w:cs="Arial" w:eastAsia="Arial" w:hAnsi="Arial"/>
                <w:sz w:val="20"/>
                <w:szCs w:val="20"/>
              </w:rPr>
              <w:t xml:space="preserve">First name + company sounds like someone they should know. “Quick minute” lowers threat level. “Is he/she in today?” is a yes/no question — much harder to deflect than “can I speak with.”</w:t>
            </w:r>
          </w:p>
        </w:tc>
      </w:tr>
    </w:tbl>
    <w:p>
      <w:pPr>
        <w:spacing w:before="200" w:after="100"/>
      </w:pPr>
      <w:r>
        <w:rPr>
          <w:rFonts w:ascii="Arial" w:cs="Arial" w:eastAsia="Arial" w:hAnsi="Arial"/>
          <w:b/>
          <w:bCs/>
          <w:color w:val="374151"/>
          <w:sz w:val="21"/>
          <w:szCs w:val="21"/>
        </w:rPr>
        <w:t xml:space="preserve">If they ask “What is this regarding?”</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"Absolutely — we work with solo practices in the area on their billing and reimbursements. I just had a quick question about how they’re handling things on their end. Nothing salesy, I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0F7EE" w:val="clear"/>
            <w:tcMar>
              <w:top w:type="dxa" w:w="120"/>
              <w:left w:type="dxa" w:w="180"/>
              <w:bottom w:type="dxa" w:w="120"/>
              <w:right w:type="dxa" w:w="180"/>
            </w:tcMar>
          </w:tcPr>
          <w:p>
            <w:pPr>
              <w:spacing w:after="60"/>
            </w:pPr>
            <w:r>
              <w:rPr>
                <w:rFonts w:ascii="Arial" w:cs="Arial" w:eastAsia="Arial" w:hAnsi="Arial"/>
                <w:b/>
                <w:bCs/>
                <w:color w:val="2D6A2E"/>
                <w:sz w:val="20"/>
                <w:szCs w:val="20"/>
              </w:rPr>
              <w:t xml:space="preserve">✅ KEY</w:t>
            </w:r>
          </w:p>
          <w:p>
            <w:pPr>
              <w:spacing w:after="0"/>
            </w:pPr>
            <w:r>
              <w:rPr>
                <w:rFonts w:ascii="Arial" w:cs="Arial" w:eastAsia="Arial" w:hAnsi="Arial"/>
                <w:sz w:val="20"/>
                <w:szCs w:val="20"/>
              </w:rPr>
              <w:t xml:space="preserve">The phrase “I had a quick question” flips the frame — you’re not pitching, you’re asking. “Nothing salesy, I promise” with a slight laugh disarms them completely.</w:t>
            </w:r>
          </w:p>
        </w:tc>
      </w:tr>
    </w:tbl>
    <w:p>
      <w:pPr>
        <w:pStyle w:val="Heading3"/>
        <w:spacing w:before="250" w:after="100"/>
      </w:pPr>
      <w:r>
        <w:rPr>
          <w:b/>
          <w:bCs/>
          <w:color w:val="2D6A2E"/>
        </w:rPr>
        <w:t xml:space="preserve">OPENER B — The Specific Referral</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"Hey there — I’m [NAME] with Track-Med Billing. I was actually referred to your practice by [REFERRAL/NETWORK NAME]. Is the doctor or the office manager available for a quick second?"</w:t>
      </w:r>
    </w:p>
    <w:p>
      <w:pPr>
        <w:spacing w:after="120" w:line="276"/>
      </w:pPr>
      <w:r>
        <w:rPr>
          <w:rFonts w:ascii="Arial" w:cs="Arial" w:eastAsia="Arial" w:hAnsi="Arial"/>
          <w:sz w:val="21"/>
          <w:szCs w:val="21"/>
        </w:rPr>
        <w:t xml:space="preserve">Use this if you have any connection at all — a shared network, a colleague, a local medical association. Even “I saw your practice listed on [SOURCE]” works.</w:t>
      </w:r>
    </w:p>
    <w:p>
      <w:pPr>
        <w:pStyle w:val="Heading3"/>
        <w:spacing w:before="250" w:after="100"/>
      </w:pPr>
      <w:r>
        <w:rPr>
          <w:b/>
          <w:bCs/>
          <w:color w:val="2D6A2E"/>
        </w:rPr>
        <w:t xml:space="preserve">OPENER C — The Honest Direct</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"Hi, I know you’re busy so I’ll be real quick. I’m [NAME] with Track-Med — we help small practices stop losing money on denied claims. Who would be the best person to chat with about your billing for just two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0F7EE" w:val="clear"/>
            <w:tcMar>
              <w:top w:type="dxa" w:w="120"/>
              <w:left w:type="dxa" w:w="180"/>
              <w:bottom w:type="dxa" w:w="120"/>
              <w:right w:type="dxa" w:w="180"/>
            </w:tcMar>
          </w:tcPr>
          <w:p>
            <w:pPr>
              <w:spacing w:after="60"/>
            </w:pPr>
            <w:r>
              <w:rPr>
                <w:rFonts w:ascii="Arial" w:cs="Arial" w:eastAsia="Arial" w:hAnsi="Arial"/>
                <w:b/>
                <w:bCs/>
                <w:color w:val="2D6A2E"/>
                <w:sz w:val="20"/>
                <w:szCs w:val="20"/>
              </w:rPr>
              <w:t xml:space="preserve">✅ WHY THIS WORKS</w:t>
            </w:r>
          </w:p>
          <w:p>
            <w:pPr>
              <w:spacing w:after="0"/>
            </w:pPr>
            <w:r>
              <w:rPr>
                <w:rFonts w:ascii="Arial" w:cs="Arial" w:eastAsia="Arial" w:hAnsi="Arial"/>
                <w:sz w:val="20"/>
                <w:szCs w:val="20"/>
              </w:rPr>
              <w:t xml:space="preserve">Acknowledging they’re busy shows respect. “Stop losing money on denied claims” hits a nerve every practice feels. “Who would be the best person” lets them direct you to the decision maker.</w:t>
            </w:r>
          </w:p>
        </w:tc>
      </w:tr>
    </w:tbl>
    <w:p>
      <w:r>
        <w:r>
          <w:br w:type="page"/>
        </w:r>
      </w:r>
    </w:p>
    <w:p>
      <w:pPr>
        <w:pStyle w:val="Heading1"/>
        <w:spacing w:before="300" w:after="150"/>
      </w:pPr>
      <w:r>
        <w:rPr>
          <w:rFonts w:ascii="Arial" w:cs="Arial" w:eastAsia="Arial" w:hAnsi="Arial"/>
          <w:b/>
          <w:bCs/>
          <w:color w:val="1B3A5C"/>
        </w:rPr>
        <w:t xml:space="preserve">PHASE 2: The Decision Maker Conversation</w:t>
      </w:r>
    </w:p>
    <w:p>
      <w:pPr>
        <w:spacing w:after="120" w:line="276"/>
      </w:pPr>
      <w:r>
        <w:rPr>
          <w:rFonts w:ascii="Arial" w:cs="Arial" w:eastAsia="Arial" w:hAnsi="Arial"/>
          <w:sz w:val="21"/>
          <w:szCs w:val="21"/>
        </w:rPr>
        <w:t xml:space="preserve">You’re now talking to the doctor, practice manager, or office manager. Do NOT pitch yet. Your only job for the first 90 seconds is to get them talking about their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FF8E6" w:val="clear"/>
            <w:tcMar>
              <w:top w:type="dxa" w:w="120"/>
              <w:left w:type="dxa" w:w="180"/>
              <w:bottom w:type="dxa" w:w="120"/>
              <w:right w:type="dxa" w:w="180"/>
            </w:tcMar>
          </w:tcPr>
          <w:p>
            <w:pPr>
              <w:spacing w:after="60"/>
            </w:pPr>
            <w:r>
              <w:rPr>
                <w:rFonts w:ascii="Arial" w:cs="Arial" w:eastAsia="Arial" w:hAnsi="Arial"/>
                <w:b/>
                <w:bCs/>
                <w:color w:val="B7791F"/>
                <w:sz w:val="20"/>
                <w:szCs w:val="20"/>
              </w:rPr>
              <w:t xml:space="preserve">⚠ CRITICAL MINDSET</w:t>
            </w:r>
          </w:p>
          <w:p>
            <w:pPr>
              <w:spacing w:after="0"/>
            </w:pPr>
            <w:r>
              <w:rPr>
                <w:rFonts w:ascii="Arial" w:cs="Arial" w:eastAsia="Arial" w:hAnsi="Arial"/>
                <w:sz w:val="20"/>
                <w:szCs w:val="20"/>
              </w:rPr>
              <w:t xml:space="preserve">You are a consultant having a conversation, NOT a salesperson making a pitch. Ask questions. Listen. React naturally. The person who asks the questions controls the conversation.</w:t>
            </w:r>
          </w:p>
        </w:tc>
      </w:tr>
    </w:tbl>
    <w:p>
      <w:pPr>
        <w:pStyle w:val="Heading3"/>
        <w:spacing w:before="250" w:after="100"/>
      </w:pPr>
      <w:r>
        <w:rPr>
          <w:b/>
          <w:bCs/>
          <w:color w:val="2D6A2E"/>
        </w:rPr>
        <w:t xml:space="preserve">THE OPENING (First 15 seconds)</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"Dr. [NAME], thanks for taking a second. I’ll keep this really brief. I’m [NAME] with Track-Med — we specialize in billing for solo practices and small groups. I’m not calling to sell you anything today. I just wanted to ask — how are things going on the billing side right now?"</w:t>
      </w:r>
    </w:p>
    <w:p>
      <w:pPr>
        <w:spacing w:after="120" w:line="276"/>
      </w:pPr>
      <w:r>
        <w:rPr>
          <w:rFonts w:ascii="Arial" w:cs="Arial" w:eastAsia="Arial" w:hAnsi="Arial"/>
          <w:sz w:val="21"/>
          <w:szCs w:val="21"/>
        </w:rPr>
        <w:t xml:space="preserve">Then STOP TALKING. Let the silence do the work. Most doctors will start venting within 3–5 seconds.</w:t>
      </w:r>
    </w:p>
    <w:p>
      <w:pPr>
        <w:pStyle w:val="Heading3"/>
        <w:spacing w:before="250" w:after="100"/>
      </w:pPr>
      <w:r>
        <w:rPr>
          <w:b/>
          <w:bCs/>
          <w:color w:val="2D6A2E"/>
        </w:rPr>
        <w:t xml:space="preserve">DISCOVERY QUESTIONS (Pick 2–3 based on what they say)</w:t>
      </w:r>
    </w:p>
    <w:p>
      <w:pPr>
        <w:spacing w:after="120" w:line="276"/>
      </w:pPr>
      <w:r>
        <w:rPr>
          <w:rFonts w:ascii="Arial" w:cs="Arial" w:eastAsia="Arial" w:hAnsi="Arial"/>
          <w:sz w:val="21"/>
          <w:szCs w:val="21"/>
        </w:rPr>
        <w:t xml:space="preserve">After they respond to your opening, weave in these questions naturally. Don’t rapid-fire them — have a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0D5DD" w:sz="1"/>
              <w:left w:val="single" w:color="D0D5DD" w:sz="1"/>
              <w:bottom w:val="single" w:color="D0D5DD" w:sz="1"/>
              <w:right w:val="single" w:color="D0D5DD"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5160"/>
            <w:tcBorders>
              <w:top w:val="single" w:color="D0D5DD" w:sz="1"/>
              <w:left w:val="single" w:color="D0D5DD" w:sz="1"/>
              <w:bottom w:val="single" w:color="D0D5DD" w:sz="1"/>
              <w:right w:val="single" w:color="D0D5DD"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WHAT YOU’RE LISTENING FOR</w:t>
            </w:r>
          </w:p>
        </w:tc>
      </w:tr>
      <w:tr>
        <w:tc>
          <w:tcPr>
            <w:tcW w:type="dxa" w:w="420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i/>
                <w:iCs/>
                <w:sz w:val="20"/>
                <w:szCs w:val="20"/>
              </w:rPr>
              <w:t xml:space="preserve">“Are you handling billing in-house or do you have someone?”</w:t>
            </w:r>
          </w:p>
        </w:tc>
        <w:tc>
          <w:tcPr>
            <w:tcW w:type="dxa" w:w="516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sz w:val="20"/>
                <w:szCs w:val="20"/>
              </w:rPr>
              <w:t xml:space="preserve">In-house = overwhelmed staff. Outside = maybe unhappy with current company.</w:t>
            </w:r>
          </w:p>
        </w:tc>
      </w:tr>
      <w:tr>
        <w:tc>
          <w:tcPr>
            <w:tcW w:type="dxa" w:w="4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i/>
                <w:iCs/>
                <w:sz w:val="20"/>
                <w:szCs w:val="20"/>
              </w:rPr>
              <w:t xml:space="preserve">“What’s your denial rate looking like these days?”</w:t>
            </w:r>
          </w:p>
        </w:tc>
        <w:tc>
          <w:tcPr>
            <w:tcW w:type="dxa" w:w="51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Most don’t know (red flag). If they do, anything over 5% is your opening.</w:t>
            </w:r>
          </w:p>
        </w:tc>
      </w:tr>
      <w:tr>
        <w:tc>
          <w:tcPr>
            <w:tcW w:type="dxa" w:w="420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i/>
                <w:iCs/>
                <w:sz w:val="20"/>
                <w:szCs w:val="20"/>
              </w:rPr>
              <w:t xml:space="preserve">“How long does it typically take you to get paid after a visit?”</w:t>
            </w:r>
          </w:p>
        </w:tc>
        <w:tc>
          <w:tcPr>
            <w:tcW w:type="dxa" w:w="516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sz w:val="20"/>
                <w:szCs w:val="20"/>
              </w:rPr>
              <w:t xml:space="preserve">If over 35 days, they’re leaving money on the table.</w:t>
            </w:r>
          </w:p>
        </w:tc>
      </w:tr>
      <w:tr>
        <w:tc>
          <w:tcPr>
            <w:tcW w:type="dxa" w:w="4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i/>
                <w:iCs/>
                <w:sz w:val="20"/>
                <w:szCs w:val="20"/>
              </w:rPr>
              <w:t xml:space="preserve">“Are you still dealing with prior auths yourself?”</w:t>
            </w:r>
          </w:p>
        </w:tc>
        <w:tc>
          <w:tcPr>
            <w:tcW w:type="dxa" w:w="51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Prior auths are the #1 time-killer for small practices.</w:t>
            </w:r>
          </w:p>
        </w:tc>
      </w:tr>
      <w:tr>
        <w:tc>
          <w:tcPr>
            <w:tcW w:type="dxa" w:w="420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i/>
                <w:iCs/>
                <w:sz w:val="20"/>
                <w:szCs w:val="20"/>
              </w:rPr>
              <w:t xml:space="preserve">“When’s the last time someone actually audited your billing for missed revenue?”</w:t>
            </w:r>
          </w:p>
        </w:tc>
        <w:tc>
          <w:tcPr>
            <w:tcW w:type="dxa" w:w="516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sz w:val="20"/>
                <w:szCs w:val="20"/>
              </w:rPr>
              <w:t xml:space="preserve">The answer is almost always “never.” That’s your hook.</w:t>
            </w:r>
          </w:p>
        </w:tc>
      </w:tr>
      <w:tr>
        <w:tc>
          <w:tcPr>
            <w:tcW w:type="dxa" w:w="4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i/>
                <w:iCs/>
                <w:sz w:val="20"/>
                <w:szCs w:val="20"/>
              </w:rPr>
              <w:t xml:space="preserve">“What would it mean for your practice if you could collect an extra 10–15% on what you’re already doing?”</w:t>
            </w:r>
          </w:p>
        </w:tc>
        <w:tc>
          <w:tcPr>
            <w:tcW w:type="dxa" w:w="51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This plants the seed of the financial impact without making a promise.</w:t>
            </w:r>
          </w:p>
        </w:tc>
      </w:tr>
    </w:tbl>
    <w:p>
      <w:pPr>
        <w:pStyle w:val="Heading3"/>
        <w:spacing w:before="300" w:after="100"/>
      </w:pPr>
      <w:r>
        <w:rPr>
          <w:b/>
          <w:bCs/>
          <w:color w:val="2D6A2E"/>
        </w:rPr>
        <w:t xml:space="preserve">VALIDATING THEIR PAIN (The Empathy Bridge)</w:t>
      </w:r>
    </w:p>
    <w:p>
      <w:pPr>
        <w:spacing w:after="120" w:line="276"/>
      </w:pPr>
      <w:r>
        <w:rPr>
          <w:rFonts w:ascii="Arial" w:cs="Arial" w:eastAsia="Arial" w:hAnsi="Arial"/>
          <w:sz w:val="21"/>
          <w:szCs w:val="21"/>
        </w:rPr>
        <w:t xml:space="preserve">After they share frustrations, validate BEFORE you pitch. This is where most salespeople fail — they jump straight to their solution.</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"Yeah, honestly that’s exactly what I hear from almost every solo practice I talk to. You’re not alone in that. The billing side just eats up so much time that should be going toward patients."</w:t>
      </w:r>
    </w:p>
    <w:p>
      <w:pPr>
        <w:spacing w:after="120" w:line="276"/>
      </w:pPr>
      <w:r>
        <w:rPr>
          <w:rFonts w:ascii="Arial" w:cs="Arial" w:eastAsia="Arial" w:hAnsi="Arial"/>
          <w:sz w:val="21"/>
          <w:szCs w:val="21"/>
        </w:rPr>
        <w:t xml:space="preserve">Or if they mention specific frustrations:</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"That’s brutal. And the thing is, that’s not even your job — you went to medical school to treat patients, not chase insurance companies. That’s our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0F7EE" w:val="clear"/>
            <w:tcMar>
              <w:top w:type="dxa" w:w="120"/>
              <w:left w:type="dxa" w:w="180"/>
              <w:bottom w:type="dxa" w:w="120"/>
              <w:right w:type="dxa" w:w="180"/>
            </w:tcMar>
          </w:tcPr>
          <w:p>
            <w:pPr>
              <w:spacing w:after="60"/>
            </w:pPr>
            <w:r>
              <w:rPr>
                <w:rFonts w:ascii="Arial" w:cs="Arial" w:eastAsia="Arial" w:hAnsi="Arial"/>
                <w:b/>
                <w:bCs/>
                <w:color w:val="2D6A2E"/>
                <w:sz w:val="20"/>
                <w:szCs w:val="20"/>
              </w:rPr>
              <w:t xml:space="preserve">✅ THE TRANSITION</w:t>
            </w:r>
          </w:p>
          <w:p>
            <w:pPr>
              <w:spacing w:after="0"/>
            </w:pPr>
            <w:r>
              <w:rPr>
                <w:rFonts w:ascii="Arial" w:cs="Arial" w:eastAsia="Arial" w:hAnsi="Arial"/>
                <w:sz w:val="20"/>
                <w:szCs w:val="20"/>
              </w:rPr>
              <w:t xml:space="preserve">Notice how “That’s our job” naturally bridges into what Track-Med does without a hard pitch? You’re positioning yourself as the obvious solution to the pain they just described.</w:t>
            </w:r>
          </w:p>
        </w:tc>
      </w:tr>
    </w:tbl>
    <w:p>
      <w:r>
        <w:r>
          <w:br w:type="page"/>
        </w:r>
      </w:r>
    </w:p>
    <w:p>
      <w:pPr>
        <w:pStyle w:val="Heading1"/>
        <w:spacing w:before="300" w:after="150"/>
      </w:pPr>
      <w:r>
        <w:rPr>
          <w:rFonts w:ascii="Arial" w:cs="Arial" w:eastAsia="Arial" w:hAnsi="Arial"/>
          <w:b/>
          <w:bCs/>
          <w:color w:val="1B3A5C"/>
        </w:rPr>
        <w:t xml:space="preserve">PHASE 3: The Soft Pitch</w:t>
      </w:r>
    </w:p>
    <w:p>
      <w:pPr>
        <w:spacing w:after="120" w:line="276"/>
      </w:pPr>
      <w:r>
        <w:rPr>
          <w:rFonts w:ascii="Arial" w:cs="Arial" w:eastAsia="Arial" w:hAnsi="Arial"/>
          <w:sz w:val="21"/>
          <w:szCs w:val="21"/>
        </w:rPr>
        <w:t xml:space="preserve">Only deliver this AFTER they’ve told you their pain. You’re connecting Track-Med to the specific problems they mentioned.</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"So here’s what we do, and I’ll keep it simple. Track-Med handles the entire billing cycle for practices like yours — from the moment a patient checks in to the moment the money hits your account. Claims, denials, follow-ups, prior auths, all of it."</w:t>
      </w:r>
    </w:p>
    <w:p>
      <w:pPr>
        <w:spacing w:before="100" w:after="40"/>
      </w:pPr>
      <w:r>
        <w:rPr>
          <w:rFonts w:ascii="Arial" w:cs="Arial" w:eastAsia="Arial" w:hAnsi="Arial"/>
          <w:i/>
          <w:iCs/>
          <w:color w:val="6B7280"/>
          <w:sz w:val="21"/>
          <w:szCs w:val="21"/>
        </w:rPr>
        <w:t xml:space="preserve">Then pause. Let them process. Then add:</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"The practices we work with typically see their collections go up 15–25% within the first 90 days, and the doctor gets to actually focus on medicine again instead of fighting with Blue Cross at 6pm."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FF8E6" w:val="clear"/>
            <w:tcMar>
              <w:top w:type="dxa" w:w="120"/>
              <w:left w:type="dxa" w:w="180"/>
              <w:bottom w:type="dxa" w:w="120"/>
              <w:right w:type="dxa" w:w="180"/>
            </w:tcMar>
          </w:tcPr>
          <w:p>
            <w:pPr>
              <w:spacing w:after="60"/>
            </w:pPr>
            <w:r>
              <w:rPr>
                <w:rFonts w:ascii="Arial" w:cs="Arial" w:eastAsia="Arial" w:hAnsi="Arial"/>
                <w:b/>
                <w:bCs/>
                <w:color w:val="B7791F"/>
                <w:sz w:val="20"/>
                <w:szCs w:val="20"/>
              </w:rPr>
              <w:t xml:space="preserve">⚠ IMPORTANT</w:t>
            </w:r>
          </w:p>
          <w:p>
            <w:pPr>
              <w:spacing w:after="0"/>
            </w:pPr>
            <w:r>
              <w:rPr>
                <w:rFonts w:ascii="Arial" w:cs="Arial" w:eastAsia="Arial" w:hAnsi="Arial"/>
                <w:sz w:val="20"/>
                <w:szCs w:val="20"/>
              </w:rPr>
              <w:t xml:space="preserve">Adjust the percentage based on honest results you can deliver. Never overpromise. If you don’t have data yet, say: “What we typically see with practices your size is a significant bump in collections within the first 60–90 days.”</w:t>
            </w:r>
          </w:p>
        </w:tc>
      </w:tr>
    </w:tbl>
    <w:p>
      <w:pPr>
        <w:spacing w:before="200"/>
      </w:pPr>
    </w:p>
    <w:p>
      <w:pPr>
        <w:pStyle w:val="Heading1"/>
        <w:spacing w:before="300" w:after="150"/>
      </w:pPr>
      <w:r>
        <w:rPr>
          <w:rFonts w:ascii="Arial" w:cs="Arial" w:eastAsia="Arial" w:hAnsi="Arial"/>
          <w:b/>
          <w:bCs/>
          <w:color w:val="1B3A5C"/>
        </w:rPr>
        <w:t xml:space="preserve">PHASE 4: Objection Handling</w:t>
      </w:r>
    </w:p>
    <w:p>
      <w:pPr>
        <w:spacing w:after="120" w:line="276"/>
      </w:pPr>
      <w:r>
        <w:rPr>
          <w:rFonts w:ascii="Arial" w:cs="Arial" w:eastAsia="Arial" w:hAnsi="Arial"/>
          <w:sz w:val="21"/>
          <w:szCs w:val="21"/>
        </w:rPr>
        <w:t xml:space="preserve">Every objection is actually a question in disguise. Your job: answer the real question underneath.</w:t>
      </w:r>
    </w:p>
    <w:p>
      <w:pPr>
        <w:pStyle w:val="Heading3"/>
        <w:spacing w:before="200" w:after="80"/>
      </w:pPr>
      <w:r>
        <w:rPr>
          <w:b/>
          <w:bCs/>
          <w:color w:val="C0392B"/>
        </w:rPr>
        <w:t xml:space="preserve">“We already have a billing person/company.”</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"Totally understand, and I’m not trying to step on anyone’s toes. Can I ask you this though — do you know what your current denial rate is? And are you tracking how much revenue is being left on the table from undercoding or missed follow-ups?"</w:t>
      </w:r>
    </w:p>
    <w:p>
      <w:pPr>
        <w:spacing w:after="120" w:line="276"/>
      </w:pPr>
      <w:r>
        <w:rPr>
          <w:rFonts w:ascii="Arial" w:cs="Arial" w:eastAsia="Arial" w:hAnsi="Arial"/>
          <w:sz w:val="21"/>
          <w:szCs w:val="21"/>
        </w:rPr>
        <w:t xml:space="preserve">If they don’t know: “That’s actually really common. What if I did a free 15-minute review of your billing — no strings attached — just to see if there’s anything slipping through the cracks? Worst case, I confirm your current setup is solid.”</w:t>
      </w:r>
    </w:p>
    <w:p>
      <w:pPr>
        <w:pStyle w:val="Heading3"/>
        <w:spacing w:before="250" w:after="80"/>
      </w:pPr>
      <w:r>
        <w:rPr>
          <w:b/>
          <w:bCs/>
          <w:color w:val="C0392B"/>
        </w:rPr>
        <w:t xml:space="preserve">“We can’t afford it right now.”</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"I hear you, and honestly that’s the thing — it doesn’t actually cost you anything extra out of pocket. We work on a percentage of what we collect. So if we don’t collect more, you don’t pay more. The way I look at it, you’re already losing money on denied and undercoded claims. We just go recover it."</w:t>
      </w:r>
    </w:p>
    <w:p>
      <w:pPr>
        <w:pStyle w:val="Heading3"/>
        <w:spacing w:before="250" w:after="80"/>
      </w:pPr>
      <w:r>
        <w:rPr>
          <w:b/>
          <w:bCs/>
          <w:color w:val="C0392B"/>
        </w:rPr>
        <w:t xml:space="preserve">“Send me some information.” (The brush-off)</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"Absolutely, I’ll send that over. But just so I send you the right stuff — what’s the biggest headache on the billing side for you right now? Is it denials, slow payments, or just the time it eats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0F7EE" w:val="clear"/>
            <w:tcMar>
              <w:top w:type="dxa" w:w="120"/>
              <w:left w:type="dxa" w:w="180"/>
              <w:bottom w:type="dxa" w:w="120"/>
              <w:right w:type="dxa" w:w="180"/>
            </w:tcMar>
          </w:tcPr>
          <w:p>
            <w:pPr>
              <w:spacing w:after="60"/>
            </w:pPr>
            <w:r>
              <w:rPr>
                <w:rFonts w:ascii="Arial" w:cs="Arial" w:eastAsia="Arial" w:hAnsi="Arial"/>
                <w:b/>
                <w:bCs/>
                <w:color w:val="2D6A2E"/>
                <w:sz w:val="20"/>
                <w:szCs w:val="20"/>
              </w:rPr>
              <w:t xml:space="preserve">✅ WHY THIS WORKS</w:t>
            </w:r>
          </w:p>
          <w:p>
            <w:pPr>
              <w:spacing w:after="0"/>
            </w:pPr>
            <w:r>
              <w:rPr>
                <w:rFonts w:ascii="Arial" w:cs="Arial" w:eastAsia="Arial" w:hAnsi="Arial"/>
                <w:sz w:val="20"/>
                <w:szCs w:val="20"/>
              </w:rPr>
              <w:t xml:space="preserve">This keeps the conversation going instead of letting them hang up. Whatever they answer becomes your follow-up hook. If they truly want to end the call, respect it — get their email and send a personalized message within 10 minutes.</w:t>
            </w:r>
          </w:p>
        </w:tc>
      </w:tr>
    </w:tbl>
    <w:p>
      <w:pPr>
        <w:pStyle w:val="Heading3"/>
        <w:spacing w:before="250" w:after="80"/>
      </w:pPr>
      <w:r>
        <w:rPr>
          <w:b/>
          <w:bCs/>
          <w:color w:val="C0392B"/>
        </w:rPr>
        <w:t xml:space="preserve">“I’m too busy right now.”</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"I 100% respect that, Dr. [NAME]. That’s actually exactly why I called — you shouldn’t have to be busy with billing stuff. When would be a better 10 minutes for us to chat? I can work around your schedule. Even a quick call between patients would work."</w:t>
      </w:r>
    </w:p>
    <w:p>
      <w:pPr>
        <w:pStyle w:val="Heading3"/>
        <w:spacing w:before="250" w:after="80"/>
      </w:pPr>
      <w:r>
        <w:rPr>
          <w:b/>
          <w:bCs/>
          <w:color w:val="C0392B"/>
        </w:rPr>
        <w:t xml:space="preserve">“How are you different from every other billing company?”</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"Great question. Three things. One — we only work with solo and small practices, so you’re not account number 5,000. You have my direct number. Two — we use AI-assisted claim scrubbing, which catches errors before they become denials. And three — we don’t just submit claims and hope. We actively follow up on every dollar until it’s collected. Most billing companies submit and forget. We don’t."</w:t>
      </w:r>
    </w:p>
    <w:p>
      <w:r>
        <w:r>
          <w:br w:type="page"/>
        </w:r>
      </w:r>
    </w:p>
    <w:p>
      <w:pPr>
        <w:pStyle w:val="Heading1"/>
        <w:spacing w:before="300" w:after="150"/>
      </w:pPr>
      <w:r>
        <w:rPr>
          <w:rFonts w:ascii="Arial" w:cs="Arial" w:eastAsia="Arial" w:hAnsi="Arial"/>
          <w:b/>
          <w:bCs/>
          <w:color w:val="1B3A5C"/>
        </w:rPr>
        <w:t xml:space="preserve">PHASE 5: The Close</w:t>
      </w:r>
    </w:p>
    <w:p>
      <w:pPr>
        <w:spacing w:after="120" w:line="276"/>
      </w:pPr>
      <w:r>
        <w:rPr>
          <w:rFonts w:ascii="Arial" w:cs="Arial" w:eastAsia="Arial" w:hAnsi="Arial"/>
          <w:sz w:val="21"/>
          <w:szCs w:val="21"/>
        </w:rPr>
        <w:t xml:space="preserve">You’re not closing a sale. You’re closing for the NEXT STEP. That’s it.</w:t>
      </w:r>
    </w:p>
    <w:p>
      <w:pPr>
        <w:pStyle w:val="Heading3"/>
        <w:spacing w:before="200" w:after="100"/>
      </w:pPr>
      <w:r>
        <w:rPr>
          <w:b/>
          <w:bCs/>
          <w:color w:val="2D6A2E"/>
        </w:rPr>
        <w:t xml:space="preserve">CLOSE A — The Free Audit (Strongest)</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"Dr. [NAME], here’s what I’d love to do. Let me run a free billing audit on your practice. Takes us about a day on our end, zero effort from you. I’ll come back and show you exactly where money is leaking and how much. If it makes sense to work together after that, great. If not, you still walk away with a clear picture of your billing health. Fair enough?"</w:t>
      </w:r>
    </w:p>
    <w:p>
      <w:pPr>
        <w:pStyle w:val="Heading3"/>
        <w:spacing w:before="250" w:after="100"/>
      </w:pPr>
      <w:r>
        <w:rPr>
          <w:b/>
          <w:bCs/>
          <w:color w:val="2D6A2E"/>
        </w:rPr>
        <w:t xml:space="preserve">CLOSE B — The Quick Meeting</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"Would it make sense for us to sit down for 15 minutes this week? I can come to you, or we can do a quick Zoom. I’ll bring some numbers specific to your specialty and show you what practices like yours are typically leaving on the table. Tuesday or Thursday work better for you?"</w:t>
      </w:r>
    </w:p>
    <w:p>
      <w:pPr>
        <w:pStyle w:val="Heading3"/>
        <w:spacing w:before="250" w:after="100"/>
      </w:pPr>
      <w:r>
        <w:rPr>
          <w:b/>
          <w:bCs/>
          <w:color w:val="2D6A2E"/>
        </w:rPr>
        <w:t xml:space="preserve">CLOSE C — The Soft Follow-Up (If they’re not ready)</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"No pressure at all. Let me send you a quick one-page overview and a couple of case studies from practices like yours. If anything resonates, just shoot me a text or reply to the email. I’ll check back in a week or two. Sound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FF8E6" w:val="clear"/>
            <w:tcMar>
              <w:top w:type="dxa" w:w="120"/>
              <w:left w:type="dxa" w:w="180"/>
              <w:bottom w:type="dxa" w:w="120"/>
              <w:right w:type="dxa" w:w="180"/>
            </w:tcMar>
          </w:tcPr>
          <w:p>
            <w:pPr>
              <w:spacing w:after="60"/>
            </w:pPr>
            <w:r>
              <w:rPr>
                <w:rFonts w:ascii="Arial" w:cs="Arial" w:eastAsia="Arial" w:hAnsi="Arial"/>
                <w:b/>
                <w:bCs/>
                <w:color w:val="B7791F"/>
                <w:sz w:val="20"/>
                <w:szCs w:val="20"/>
              </w:rPr>
              <w:t xml:space="preserve">⚠ ALWAYS END WITH</w:t>
            </w:r>
          </w:p>
          <w:p>
            <w:pPr>
              <w:spacing w:after="0"/>
            </w:pPr>
            <w:r>
              <w:rPr>
                <w:rFonts w:ascii="Arial" w:cs="Arial" w:eastAsia="Arial" w:hAnsi="Arial"/>
                <w:sz w:val="20"/>
                <w:szCs w:val="20"/>
              </w:rPr>
              <w:t xml:space="preserve">“Before I let you go — what’s the best email to send that to? And is this the best number to reach you on?” This confirms their contact info and gives you permission for follow-up.</w:t>
            </w:r>
          </w:p>
        </w:tc>
      </w:tr>
    </w:tbl>
    <w:p>
      <w:pPr>
        <w:pStyle w:val="Heading1"/>
        <w:spacing w:before="300" w:after="150"/>
      </w:pPr>
      <w:r>
        <w:rPr>
          <w:rFonts w:ascii="Arial" w:cs="Arial" w:eastAsia="Arial" w:hAnsi="Arial"/>
          <w:b/>
          <w:bCs/>
          <w:color w:val="1B3A5C"/>
        </w:rPr>
        <w:t xml:space="preserve">PHASE 6: Voicemail Script</w:t>
      </w:r>
    </w:p>
    <w:p>
      <w:pPr>
        <w:spacing w:after="120" w:line="276"/>
      </w:pPr>
      <w:r>
        <w:rPr>
          <w:rFonts w:ascii="Arial" w:cs="Arial" w:eastAsia="Arial" w:hAnsi="Arial"/>
          <w:sz w:val="21"/>
          <w:szCs w:val="21"/>
        </w:rPr>
        <w:t xml:space="preserve">You’ll hit voicemail 70–80% of the time. Keep it under 25 seconds. Sound like a human, not a recording.</w:t>
      </w:r>
    </w:p>
    <w:p>
      <w:pPr>
        <w:spacing w:after="100" w:line="300"/>
      </w:pPr>
      <w:r>
        <w:rPr>
          <w:rFonts w:ascii="Arial" w:cs="Arial" w:eastAsia="Arial" w:hAnsi="Arial"/>
          <w:b/>
          <w:bCs/>
          <w:color w:val="2D6A2E"/>
          <w:sz w:val="21"/>
          <w:szCs w:val="21"/>
        </w:rPr>
        <w:t xml:space="preserve">YOU: </w:t>
      </w:r>
      <w:r>
        <w:rPr>
          <w:rFonts w:ascii="Arial" w:cs="Arial" w:eastAsia="Arial" w:hAnsi="Arial"/>
          <w:i/>
          <w:iCs/>
          <w:sz w:val="21"/>
          <w:szCs w:val="21"/>
        </w:rPr>
        <w:t xml:space="preserve">"Hey Dr. [NAME], this is [YOUR NAME] with Track-Med. I work with solo practices in the area on the billing side. I had a quick question for you about how you’re handling your claims right now. If you get a second, my number is [NUMBER]. Again, [NAME] with Track-Med. Thanks,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0F7EE" w:val="clear"/>
            <w:tcMar>
              <w:top w:type="dxa" w:w="120"/>
              <w:left w:type="dxa" w:w="180"/>
              <w:bottom w:type="dxa" w:w="120"/>
              <w:right w:type="dxa" w:w="180"/>
            </w:tcMar>
          </w:tcPr>
          <w:p>
            <w:pPr>
              <w:spacing w:after="60"/>
            </w:pPr>
            <w:r>
              <w:rPr>
                <w:rFonts w:ascii="Arial" w:cs="Arial" w:eastAsia="Arial" w:hAnsi="Arial"/>
                <w:b/>
                <w:bCs/>
                <w:color w:val="2D6A2E"/>
                <w:sz w:val="20"/>
                <w:szCs w:val="20"/>
              </w:rPr>
              <w:t xml:space="preserve">✅ VOICEMAIL TIPS</w:t>
            </w:r>
          </w:p>
          <w:p>
            <w:pPr>
              <w:spacing w:after="0"/>
            </w:pPr>
            <w:r>
              <w:rPr>
                <w:rFonts w:ascii="Arial" w:cs="Arial" w:eastAsia="Arial" w:hAnsi="Arial"/>
                <w:sz w:val="20"/>
                <w:szCs w:val="20"/>
              </w:rPr>
              <w:t xml:space="preserve">“Thanks, Doc” is intentionally casual — it sounds like someone they know. Never say “I’m calling to offer you” or “our services.” The phrase “I had a question” creates curiosity. Leave the voicemail like you’re leaving a message for a friend, not a prospect.</w:t>
            </w:r>
          </w:p>
        </w:tc>
      </w:tr>
    </w:tbl>
    <w:p>
      <w:r>
        <w:r>
          <w:br w:type="page"/>
        </w:r>
      </w:r>
    </w:p>
    <w:p>
      <w:pPr>
        <w:pStyle w:val="Heading1"/>
        <w:spacing w:before="300" w:after="150"/>
      </w:pPr>
      <w:r>
        <w:rPr>
          <w:rFonts w:ascii="Arial" w:cs="Arial" w:eastAsia="Arial" w:hAnsi="Arial"/>
          <w:b/>
          <w:bCs/>
          <w:color w:val="1B3A5C"/>
        </w:rPr>
        <w:t xml:space="preserve">PHASE 7: Follow-Up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D0D5DD" w:sz="1"/>
              <w:left w:val="single" w:color="D0D5DD" w:sz="1"/>
              <w:bottom w:val="single" w:color="D0D5DD" w:sz="1"/>
              <w:right w:val="single" w:color="D0D5DD"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2000"/>
            <w:tcBorders>
              <w:top w:val="single" w:color="D0D5DD" w:sz="1"/>
              <w:left w:val="single" w:color="D0D5DD" w:sz="1"/>
              <w:bottom w:val="single" w:color="D0D5DD" w:sz="1"/>
              <w:right w:val="single" w:color="D0D5DD"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5960"/>
            <w:tcBorders>
              <w:top w:val="single" w:color="D0D5DD" w:sz="1"/>
              <w:left w:val="single" w:color="D0D5DD" w:sz="1"/>
              <w:bottom w:val="single" w:color="D0D5DD" w:sz="1"/>
              <w:right w:val="single" w:color="D0D5DD"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WHAT TO SAY/DO</w:t>
            </w:r>
          </w:p>
        </w:tc>
      </w:tr>
      <w:tr>
        <w:tc>
          <w:tcPr>
            <w:tcW w:type="dxa" w:w="140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b/>
                <w:bCs/>
                <w:sz w:val="19"/>
                <w:szCs w:val="19"/>
              </w:rPr>
              <w:t xml:space="preserve">Day 1</w:t>
            </w:r>
          </w:p>
        </w:tc>
        <w:tc>
          <w:tcPr>
            <w:tcW w:type="dxa" w:w="200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sz w:val="19"/>
                <w:szCs w:val="19"/>
              </w:rPr>
              <w:t xml:space="preserve">First Call</w:t>
            </w:r>
          </w:p>
        </w:tc>
        <w:tc>
          <w:tcPr>
            <w:tcW w:type="dxa" w:w="596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sz w:val="19"/>
                <w:szCs w:val="19"/>
              </w:rPr>
              <w:t xml:space="preserve">Use script above. Leave voicemail if no answer.</w:t>
            </w:r>
          </w:p>
        </w:tc>
      </w:tr>
      <w:tr>
        <w:tc>
          <w:tcPr>
            <w:tcW w:type="dxa" w:w="1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b/>
                <w:bCs/>
                <w:sz w:val="19"/>
                <w:szCs w:val="19"/>
              </w:rPr>
              <w:t xml:space="preserve">Day 1</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19"/>
                <w:szCs w:val="19"/>
              </w:rPr>
              <w:t xml:space="preserve">Email</w:t>
            </w:r>
          </w:p>
        </w:tc>
        <w:tc>
          <w:tcPr>
            <w:tcW w:type="dxa" w:w="5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19"/>
                <w:szCs w:val="19"/>
              </w:rPr>
              <w:t xml:space="preserve">Send personalized email within 10 min of call. Reference something specific: “Hi Dr. [NAME], I just tried reaching you about your billing. Quick thought…”</w:t>
            </w:r>
          </w:p>
        </w:tc>
      </w:tr>
      <w:tr>
        <w:tc>
          <w:tcPr>
            <w:tcW w:type="dxa" w:w="140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b/>
                <w:bCs/>
                <w:sz w:val="19"/>
                <w:szCs w:val="19"/>
              </w:rPr>
              <w:t xml:space="preserve">Day 3</w:t>
            </w:r>
          </w:p>
        </w:tc>
        <w:tc>
          <w:tcPr>
            <w:tcW w:type="dxa" w:w="200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sz w:val="19"/>
                <w:szCs w:val="19"/>
              </w:rPr>
              <w:t xml:space="preserve">Second Call</w:t>
            </w:r>
          </w:p>
        </w:tc>
        <w:tc>
          <w:tcPr>
            <w:tcW w:type="dxa" w:w="596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sz w:val="19"/>
                <w:szCs w:val="19"/>
              </w:rPr>
              <w:t xml:space="preserve">Different time of day. New voicemail: “Hey Doc, me again — [NAME] with Track-Med. Just circling back. Give me a shout when you get a sec.”</w:t>
            </w:r>
          </w:p>
        </w:tc>
      </w:tr>
      <w:tr>
        <w:tc>
          <w:tcPr>
            <w:tcW w:type="dxa" w:w="1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b/>
                <w:bCs/>
                <w:sz w:val="19"/>
                <w:szCs w:val="19"/>
              </w:rPr>
              <w:t xml:space="preserve">Day 5</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19"/>
                <w:szCs w:val="19"/>
              </w:rPr>
              <w:t xml:space="preserve">Text Message</w:t>
            </w:r>
          </w:p>
        </w:tc>
        <w:tc>
          <w:tcPr>
            <w:tcW w:type="dxa" w:w="5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19"/>
                <w:szCs w:val="19"/>
              </w:rPr>
              <w:t xml:space="preserve">“Hi Dr. [NAME], this is [NAME] from Track-Med. Tried reaching you about your billing — would a quick 5-min call work this week?”</w:t>
            </w:r>
          </w:p>
        </w:tc>
      </w:tr>
      <w:tr>
        <w:tc>
          <w:tcPr>
            <w:tcW w:type="dxa" w:w="140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b/>
                <w:bCs/>
                <w:sz w:val="19"/>
                <w:szCs w:val="19"/>
              </w:rPr>
              <w:t xml:space="preserve">Day 7</w:t>
            </w:r>
          </w:p>
        </w:tc>
        <w:tc>
          <w:tcPr>
            <w:tcW w:type="dxa" w:w="200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sz w:val="19"/>
                <w:szCs w:val="19"/>
              </w:rPr>
              <w:t xml:space="preserve">Email #2</w:t>
            </w:r>
          </w:p>
        </w:tc>
        <w:tc>
          <w:tcPr>
            <w:tcW w:type="dxa" w:w="596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sz w:val="19"/>
                <w:szCs w:val="19"/>
              </w:rPr>
              <w:t xml:space="preserve">Send a value piece: a short case study, a stat about billing losses, or a tip relevant to their specialty.</w:t>
            </w:r>
          </w:p>
        </w:tc>
      </w:tr>
      <w:tr>
        <w:tc>
          <w:tcPr>
            <w:tcW w:type="dxa" w:w="1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b/>
                <w:bCs/>
                <w:sz w:val="19"/>
                <w:szCs w:val="19"/>
              </w:rPr>
              <w:t xml:space="preserve">Day 10</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19"/>
                <w:szCs w:val="19"/>
              </w:rPr>
              <w:t xml:space="preserve">Third Call</w:t>
            </w:r>
          </w:p>
        </w:tc>
        <w:tc>
          <w:tcPr>
            <w:tcW w:type="dxa" w:w="5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19"/>
                <w:szCs w:val="19"/>
              </w:rPr>
              <w:t xml:space="preserve">Last voicemail: “Hey Dr. [NAME], I don’t want to be a pest. Last message from me — if billing ever becomes a headache, I’m here. My number is [NUMBER]. Take care.”</w:t>
            </w:r>
          </w:p>
        </w:tc>
      </w:tr>
      <w:tr>
        <w:tc>
          <w:tcPr>
            <w:tcW w:type="dxa" w:w="140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b/>
                <w:bCs/>
                <w:sz w:val="19"/>
                <w:szCs w:val="19"/>
              </w:rPr>
              <w:t xml:space="preserve">Day 21</w:t>
            </w:r>
          </w:p>
        </w:tc>
        <w:tc>
          <w:tcPr>
            <w:tcW w:type="dxa" w:w="200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sz w:val="19"/>
                <w:szCs w:val="19"/>
              </w:rPr>
              <w:t xml:space="preserve">Breakup Email</w:t>
            </w:r>
          </w:p>
        </w:tc>
        <w:tc>
          <w:tcPr>
            <w:tcW w:type="dxa" w:w="5960"/>
            <w:tcBorders>
              <w:top w:val="single" w:color="D0D5DD" w:sz="1"/>
              <w:left w:val="single" w:color="D0D5DD" w:sz="1"/>
              <w:bottom w:val="single" w:color="D0D5DD" w:sz="1"/>
              <w:right w:val="single" w:color="D0D5DD" w:sz="1"/>
            </w:tcBorders>
            <w:shd w:fill="F2F7FC" w:val="clear"/>
            <w:tcMar>
              <w:top w:type="dxa" w:w="100"/>
              <w:left w:type="dxa" w:w="140"/>
              <w:bottom w:type="dxa" w:w="100"/>
              <w:right w:type="dxa" w:w="140"/>
            </w:tcMar>
          </w:tcPr>
          <w:p>
            <w:pPr>
              <w:spacing w:after="0"/>
            </w:pPr>
            <w:r>
              <w:rPr>
                <w:rFonts w:ascii="Arial" w:cs="Arial" w:eastAsia="Arial" w:hAnsi="Arial"/>
                <w:sz w:val="19"/>
                <w:szCs w:val="19"/>
              </w:rPr>
              <w:t xml:space="preserve">“I figured now isn’t the right time, and I respect that. I’ll leave the door open. If billing ever keeps you up at night, you know where to find me.”</w:t>
            </w:r>
          </w:p>
        </w:tc>
      </w:tr>
      <w:tr>
        <w:tc>
          <w:tcPr>
            <w:tcW w:type="dxa" w:w="14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b/>
                <w:bCs/>
                <w:sz w:val="19"/>
                <w:szCs w:val="19"/>
              </w:rPr>
              <w:t xml:space="preserve">Day 60</w:t>
            </w:r>
          </w:p>
        </w:tc>
        <w:tc>
          <w:tcPr>
            <w:tcW w:type="dxa" w:w="2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19"/>
                <w:szCs w:val="19"/>
              </w:rPr>
              <w:t xml:space="preserve">Re-engage</w:t>
            </w:r>
          </w:p>
        </w:tc>
        <w:tc>
          <w:tcPr>
            <w:tcW w:type="dxa" w:w="5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19"/>
                <w:szCs w:val="19"/>
              </w:rPr>
              <w:t xml:space="preserve">Circle back with fresh value: new case study, industry news, or a specific insight about their practice.</w:t>
            </w:r>
          </w:p>
        </w:tc>
      </w:tr>
    </w:tbl>
    <w:p>
      <w:pPr>
        <w:spacing w:before="400"/>
      </w:pPr>
    </w:p>
    <w:p>
      <w:pPr>
        <w:pStyle w:val="Heading1"/>
        <w:spacing w:before="300" w:after="150"/>
      </w:pPr>
      <w:r>
        <w:rPr>
          <w:rFonts w:ascii="Arial" w:cs="Arial" w:eastAsia="Arial" w:hAnsi="Arial"/>
          <w:b/>
          <w:bCs/>
          <w:color w:val="1B3A5C"/>
        </w:rPr>
        <w:t xml:space="preserve">Quick Reference: Phrases That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 SAY THIS</w:t>
            </w:r>
          </w:p>
        </w:tc>
        <w:tc>
          <w:tcPr>
            <w:tcW w:type="dxa" w:w="4680"/>
            <w:tcBorders>
              <w:top w:val="single" w:color="D0D5DD" w:sz="1"/>
              <w:left w:val="single" w:color="D0D5DD" w:sz="1"/>
              <w:bottom w:val="single" w:color="D0D5DD" w:sz="1"/>
              <w:right w:val="single" w:color="D0D5DD"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 NOT THIS</w:t>
            </w:r>
          </w:p>
        </w:tc>
      </w:tr>
      <w:tr>
        <w:tc>
          <w:tcPr>
            <w:tcW w:type="dxa" w:w="4680"/>
            <w:tcBorders>
              <w:top w:val="single" w:color="D0D5DD" w:sz="1"/>
              <w:left w:val="single" w:color="D0D5DD" w:sz="1"/>
              <w:bottom w:val="single" w:color="D0D5DD" w:sz="1"/>
              <w:right w:val="single" w:color="D0D5DD" w:sz="1"/>
            </w:tcBorders>
            <w:shd w:fill="F0F7EE" w:val="clear"/>
            <w:tcMar>
              <w:top w:type="dxa" w:w="100"/>
              <w:left w:type="dxa" w:w="140"/>
              <w:bottom w:type="dxa" w:w="100"/>
              <w:right w:type="dxa" w:w="140"/>
            </w:tcMar>
          </w:tcPr>
          <w:p>
            <w:pPr>
              <w:spacing w:after="0"/>
            </w:pPr>
            <w:r>
              <w:rPr>
                <w:rFonts w:ascii="Arial" w:cs="Arial" w:eastAsia="Arial" w:hAnsi="Arial"/>
                <w:sz w:val="20"/>
                <w:szCs w:val="20"/>
              </w:rPr>
              <w:t xml:space="preserve">“I had a quick question…”</w:t>
            </w:r>
          </w:p>
        </w:tc>
        <w:tc>
          <w:tcPr>
            <w:tcW w:type="dxa" w:w="4680"/>
            <w:tcBorders>
              <w:top w:val="single" w:color="D0D5DD" w:sz="1"/>
              <w:left w:val="single" w:color="D0D5DD" w:sz="1"/>
              <w:bottom w:val="single" w:color="D0D5DD" w:sz="1"/>
              <w:right w:val="single" w:color="D0D5DD" w:sz="1"/>
            </w:tcBorders>
            <w:shd w:fill="FFF0F0" w:val="clear"/>
            <w:tcMar>
              <w:top w:type="dxa" w:w="100"/>
              <w:left w:type="dxa" w:w="140"/>
              <w:bottom w:type="dxa" w:w="100"/>
              <w:right w:type="dxa" w:w="140"/>
            </w:tcMar>
          </w:tcPr>
          <w:p>
            <w:pPr>
              <w:spacing w:after="0"/>
            </w:pPr>
            <w:r>
              <w:rPr>
                <w:rFonts w:ascii="Arial" w:cs="Arial" w:eastAsia="Arial" w:hAnsi="Arial"/>
                <w:sz w:val="20"/>
                <w:szCs w:val="20"/>
              </w:rPr>
              <w:t xml:space="preserve">“I’m calling to offer you our services…”</w:t>
            </w:r>
          </w:p>
        </w:tc>
      </w:tr>
      <w:tr>
        <w:tc>
          <w:tcPr>
            <w:tcW w:type="dxa" w:w="46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“How are things going on the billing side?”</w:t>
            </w:r>
          </w:p>
        </w:tc>
        <w:tc>
          <w:tcPr>
            <w:tcW w:type="dxa" w:w="46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“Are you interested in outsourcing your billing?”</w:t>
            </w:r>
          </w:p>
        </w:tc>
      </w:tr>
      <w:tr>
        <w:tc>
          <w:tcPr>
            <w:tcW w:type="dxa" w:w="4680"/>
            <w:tcBorders>
              <w:top w:val="single" w:color="D0D5DD" w:sz="1"/>
              <w:left w:val="single" w:color="D0D5DD" w:sz="1"/>
              <w:bottom w:val="single" w:color="D0D5DD" w:sz="1"/>
              <w:right w:val="single" w:color="D0D5DD" w:sz="1"/>
            </w:tcBorders>
            <w:shd w:fill="F0F7EE" w:val="clear"/>
            <w:tcMar>
              <w:top w:type="dxa" w:w="100"/>
              <w:left w:type="dxa" w:w="140"/>
              <w:bottom w:type="dxa" w:w="100"/>
              <w:right w:type="dxa" w:w="140"/>
            </w:tcMar>
          </w:tcPr>
          <w:p>
            <w:pPr>
              <w:spacing w:after="0"/>
            </w:pPr>
            <w:r>
              <w:rPr>
                <w:rFonts w:ascii="Arial" w:cs="Arial" w:eastAsia="Arial" w:hAnsi="Arial"/>
                <w:sz w:val="20"/>
                <w:szCs w:val="20"/>
              </w:rPr>
              <w:t xml:space="preserve">“Practices like yours typically see…”</w:t>
            </w:r>
          </w:p>
        </w:tc>
        <w:tc>
          <w:tcPr>
            <w:tcW w:type="dxa" w:w="4680"/>
            <w:tcBorders>
              <w:top w:val="single" w:color="D0D5DD" w:sz="1"/>
              <w:left w:val="single" w:color="D0D5DD" w:sz="1"/>
              <w:bottom w:val="single" w:color="D0D5DD" w:sz="1"/>
              <w:right w:val="single" w:color="D0D5DD" w:sz="1"/>
            </w:tcBorders>
            <w:shd w:fill="FFF0F0" w:val="clear"/>
            <w:tcMar>
              <w:top w:type="dxa" w:w="100"/>
              <w:left w:type="dxa" w:w="140"/>
              <w:bottom w:type="dxa" w:w="100"/>
              <w:right w:type="dxa" w:w="140"/>
            </w:tcMar>
          </w:tcPr>
          <w:p>
            <w:pPr>
              <w:spacing w:after="0"/>
            </w:pPr>
            <w:r>
              <w:rPr>
                <w:rFonts w:ascii="Arial" w:cs="Arial" w:eastAsia="Arial" w:hAnsi="Arial"/>
                <w:sz w:val="20"/>
                <w:szCs w:val="20"/>
              </w:rPr>
              <w:t xml:space="preserve">“We guarantee you’ll make more money”</w:t>
            </w:r>
          </w:p>
        </w:tc>
      </w:tr>
      <w:tr>
        <w:tc>
          <w:tcPr>
            <w:tcW w:type="dxa" w:w="46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“What would it mean if you could…”</w:t>
            </w:r>
          </w:p>
        </w:tc>
        <w:tc>
          <w:tcPr>
            <w:tcW w:type="dxa" w:w="46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“You’re losing thousands every month”</w:t>
            </w:r>
          </w:p>
        </w:tc>
      </w:tr>
      <w:tr>
        <w:tc>
          <w:tcPr>
            <w:tcW w:type="dxa" w:w="4680"/>
            <w:tcBorders>
              <w:top w:val="single" w:color="D0D5DD" w:sz="1"/>
              <w:left w:val="single" w:color="D0D5DD" w:sz="1"/>
              <w:bottom w:val="single" w:color="D0D5DD" w:sz="1"/>
              <w:right w:val="single" w:color="D0D5DD" w:sz="1"/>
            </w:tcBorders>
            <w:shd w:fill="F0F7EE" w:val="clear"/>
            <w:tcMar>
              <w:top w:type="dxa" w:w="100"/>
              <w:left w:type="dxa" w:w="140"/>
              <w:bottom w:type="dxa" w:w="100"/>
              <w:right w:type="dxa" w:w="140"/>
            </w:tcMar>
          </w:tcPr>
          <w:p>
            <w:pPr>
              <w:spacing w:after="0"/>
            </w:pPr>
            <w:r>
              <w:rPr>
                <w:rFonts w:ascii="Arial" w:cs="Arial" w:eastAsia="Arial" w:hAnsi="Arial"/>
                <w:sz w:val="20"/>
                <w:szCs w:val="20"/>
              </w:rPr>
              <w:t xml:space="preserve">“We only work with solo practices”</w:t>
            </w:r>
          </w:p>
        </w:tc>
        <w:tc>
          <w:tcPr>
            <w:tcW w:type="dxa" w:w="4680"/>
            <w:tcBorders>
              <w:top w:val="single" w:color="D0D5DD" w:sz="1"/>
              <w:left w:val="single" w:color="D0D5DD" w:sz="1"/>
              <w:bottom w:val="single" w:color="D0D5DD" w:sz="1"/>
              <w:right w:val="single" w:color="D0D5DD" w:sz="1"/>
            </w:tcBorders>
            <w:shd w:fill="FFF0F0" w:val="clear"/>
            <w:tcMar>
              <w:top w:type="dxa" w:w="100"/>
              <w:left w:type="dxa" w:w="140"/>
              <w:bottom w:type="dxa" w:w="100"/>
              <w:right w:type="dxa" w:w="140"/>
            </w:tcMar>
          </w:tcPr>
          <w:p>
            <w:pPr>
              <w:spacing w:after="0"/>
            </w:pPr>
            <w:r>
              <w:rPr>
                <w:rFonts w:ascii="Arial" w:cs="Arial" w:eastAsia="Arial" w:hAnsi="Arial"/>
                <w:sz w:val="20"/>
                <w:szCs w:val="20"/>
              </w:rPr>
              <w:t xml:space="preserve">“We work with all kinds of businesses”</w:t>
            </w:r>
          </w:p>
        </w:tc>
      </w:tr>
      <w:tr>
        <w:tc>
          <w:tcPr>
            <w:tcW w:type="dxa" w:w="46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“Zero effort from your side”</w:t>
            </w:r>
          </w:p>
        </w:tc>
        <w:tc>
          <w:tcPr>
            <w:tcW w:type="dxa" w:w="46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“We just need you to send over some data”</w:t>
            </w:r>
          </w:p>
        </w:tc>
      </w:tr>
      <w:tr>
        <w:tc>
          <w:tcPr>
            <w:tcW w:type="dxa" w:w="4680"/>
            <w:tcBorders>
              <w:top w:val="single" w:color="D0D5DD" w:sz="1"/>
              <w:left w:val="single" w:color="D0D5DD" w:sz="1"/>
              <w:bottom w:val="single" w:color="D0D5DD" w:sz="1"/>
              <w:right w:val="single" w:color="D0D5DD" w:sz="1"/>
            </w:tcBorders>
            <w:shd w:fill="F0F7EE" w:val="clear"/>
            <w:tcMar>
              <w:top w:type="dxa" w:w="100"/>
              <w:left w:type="dxa" w:w="140"/>
              <w:bottom w:type="dxa" w:w="100"/>
              <w:right w:type="dxa" w:w="140"/>
            </w:tcMar>
          </w:tcPr>
          <w:p>
            <w:pPr>
              <w:spacing w:after="0"/>
            </w:pPr>
            <w:r>
              <w:rPr>
                <w:rFonts w:ascii="Arial" w:cs="Arial" w:eastAsia="Arial" w:hAnsi="Arial"/>
                <w:sz w:val="20"/>
                <w:szCs w:val="20"/>
              </w:rPr>
              <w:t xml:space="preserve">“Let me run a free audit…”</w:t>
            </w:r>
          </w:p>
        </w:tc>
        <w:tc>
          <w:tcPr>
            <w:tcW w:type="dxa" w:w="4680"/>
            <w:tcBorders>
              <w:top w:val="single" w:color="D0D5DD" w:sz="1"/>
              <w:left w:val="single" w:color="D0D5DD" w:sz="1"/>
              <w:bottom w:val="single" w:color="D0D5DD" w:sz="1"/>
              <w:right w:val="single" w:color="D0D5DD" w:sz="1"/>
            </w:tcBorders>
            <w:shd w:fill="FFF0F0" w:val="clear"/>
            <w:tcMar>
              <w:top w:type="dxa" w:w="100"/>
              <w:left w:type="dxa" w:w="140"/>
              <w:bottom w:type="dxa" w:w="100"/>
              <w:right w:type="dxa" w:w="140"/>
            </w:tcMar>
          </w:tcPr>
          <w:p>
            <w:pPr>
              <w:spacing w:after="0"/>
            </w:pPr>
            <w:r>
              <w:rPr>
                <w:rFonts w:ascii="Arial" w:cs="Arial" w:eastAsia="Arial" w:hAnsi="Arial"/>
                <w:sz w:val="20"/>
                <w:szCs w:val="20"/>
              </w:rPr>
              <w:t xml:space="preserve">“Sign up and we’ll show you results”</w:t>
            </w:r>
          </w:p>
        </w:tc>
      </w:tr>
      <w:tr>
        <w:tc>
          <w:tcPr>
            <w:tcW w:type="dxa" w:w="46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“Fair enough?”</w:t>
            </w:r>
          </w:p>
        </w:tc>
        <w:tc>
          <w:tcPr>
            <w:tcW w:type="dxa" w:w="46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“Does that make sense?”</w:t>
            </w:r>
          </w:p>
        </w:tc>
      </w:tr>
      <w:tr>
        <w:tc>
          <w:tcPr>
            <w:tcW w:type="dxa" w:w="4680"/>
            <w:tcBorders>
              <w:top w:val="single" w:color="D0D5DD" w:sz="1"/>
              <w:left w:val="single" w:color="D0D5DD" w:sz="1"/>
              <w:bottom w:val="single" w:color="D0D5DD" w:sz="1"/>
              <w:right w:val="single" w:color="D0D5DD" w:sz="1"/>
            </w:tcBorders>
            <w:shd w:fill="F0F7EE" w:val="clear"/>
            <w:tcMar>
              <w:top w:type="dxa" w:w="100"/>
              <w:left w:type="dxa" w:w="140"/>
              <w:bottom w:type="dxa" w:w="100"/>
              <w:right w:type="dxa" w:w="140"/>
            </w:tcMar>
          </w:tcPr>
          <w:p>
            <w:pPr>
              <w:spacing w:after="0"/>
            </w:pPr>
            <w:r>
              <w:rPr>
                <w:rFonts w:ascii="Arial" w:cs="Arial" w:eastAsia="Arial" w:hAnsi="Arial"/>
                <w:sz w:val="20"/>
                <w:szCs w:val="20"/>
              </w:rPr>
              <w:t xml:space="preserve">“Thanks, Doc”</w:t>
            </w:r>
          </w:p>
        </w:tc>
        <w:tc>
          <w:tcPr>
            <w:tcW w:type="dxa" w:w="4680"/>
            <w:tcBorders>
              <w:top w:val="single" w:color="D0D5DD" w:sz="1"/>
              <w:left w:val="single" w:color="D0D5DD" w:sz="1"/>
              <w:bottom w:val="single" w:color="D0D5DD" w:sz="1"/>
              <w:right w:val="single" w:color="D0D5DD" w:sz="1"/>
            </w:tcBorders>
            <w:shd w:fill="FFF0F0" w:val="clear"/>
            <w:tcMar>
              <w:top w:type="dxa" w:w="100"/>
              <w:left w:type="dxa" w:w="140"/>
              <w:bottom w:type="dxa" w:w="100"/>
              <w:right w:type="dxa" w:w="140"/>
            </w:tcMar>
          </w:tcPr>
          <w:p>
            <w:pPr>
              <w:spacing w:after="0"/>
            </w:pPr>
            <w:r>
              <w:rPr>
                <w:rFonts w:ascii="Arial" w:cs="Arial" w:eastAsia="Arial" w:hAnsi="Arial"/>
                <w:sz w:val="20"/>
                <w:szCs w:val="20"/>
              </w:rPr>
              <w:t xml:space="preserve">“Thank you for your time, Doctor”</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D0D5DD" w:sz="1"/>
              <w:right w:val="none" w:sz="0"/>
            </w:tcBorders>
          </w:tcPr>
          <w:p>
            <w:pPr>
              <w:spacing w:before="100" w:after="100"/>
            </w:pPr>
          </w:p>
        </w:tc>
      </w:tr>
    </w:tbl>
    <w:p>
      <w:pPr>
        <w:spacing w:before="200" w:after="100"/>
        <w:jc w:val="center"/>
      </w:pPr>
      <w:r>
        <w:rPr>
          <w:rFonts w:ascii="Arial" w:cs="Arial" w:eastAsia="Arial" w:hAnsi="Arial"/>
          <w:b/>
          <w:bCs/>
          <w:color w:val="1B3A5C"/>
          <w:sz w:val="22"/>
          <w:szCs w:val="22"/>
        </w:rPr>
        <w:t xml:space="preserve">Remember: You’re not selling billing services.</w:t>
      </w:r>
    </w:p>
    <w:p>
      <w:pPr>
        <w:spacing w:after="100"/>
        <w:jc w:val="center"/>
      </w:pPr>
      <w:r>
        <w:rPr>
          <w:rFonts w:ascii="Arial" w:cs="Arial" w:eastAsia="Arial" w:hAnsi="Arial"/>
          <w:i/>
          <w:iCs/>
          <w:color w:val="1B3A5C"/>
          <w:sz w:val="22"/>
          <w:szCs w:val="22"/>
        </w:rPr>
        <w:t xml:space="preserve">You’re giving a doctor their evenings back.</w:t>
      </w:r>
    </w:p>
    <w:p>
      <w:pPr>
        <w:spacing w:after="200"/>
        <w:jc w:val="center"/>
      </w:pPr>
      <w:r>
        <w:rPr>
          <w:rFonts w:ascii="Arial" w:cs="Arial" w:eastAsia="Arial" w:hAnsi="Arial"/>
          <w:i/>
          <w:iCs/>
          <w:color w:val="1B3A5C"/>
          <w:sz w:val="22"/>
          <w:szCs w:val="22"/>
        </w:rPr>
        <w:t xml:space="preserve">You’re putting money back in their pocket that insurance companies are keeping.</w:t>
      </w:r>
    </w:p>
    <w:p>
      <w:pPr>
        <w:spacing w:after="100"/>
        <w:jc w:val="center"/>
      </w:pPr>
      <w:r>
        <w:rPr>
          <w:rFonts w:ascii="Arial" w:cs="Arial" w:eastAsia="Arial" w:hAnsi="Arial"/>
          <w:b/>
          <w:bCs/>
          <w:color w:val="2D6A2E"/>
          <w:sz w:val="24"/>
          <w:szCs w:val="24"/>
        </w:rPr>
        <w:t xml:space="preserve">Lead with that, and the sale takes care of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2026-02-12T00:14:08.527Z</dcterms:created>
  <dcterms:modified xsi:type="dcterms:W3CDTF">2026-02-12T00:14:08.528Z</dcterms:modified>
</cp:coreProperties>
</file>

<file path=docProps/custom.xml><?xml version="1.0" encoding="utf-8"?>
<Properties xmlns="http://schemas.openxmlformats.org/officeDocument/2006/custom-properties" xmlns:vt="http://schemas.openxmlformats.org/officeDocument/2006/docPropsVTypes"/>
</file>