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CONTRAT D'APPORTEUR D'AFFAIRES</w:t>
      </w:r>
    </w:p>
    <w:p>
      <w:r>
        <w:t>Entre les soussignés :</w:t>
      </w:r>
    </w:p>
    <w:p>
      <w:r>
        <w:rPr>
          <w:b/>
        </w:rPr>
        <w:t>KHIRA AGENCY LLC</w:t>
      </w:r>
      <w:r>
        <w:t>, société de droit américain (Limited Liability Company), immatriculée dans l'État du Nouveau-Mexique (EIN 37-2187210), dont le siège est situé 8206 Louisiana Blvd NE, Ste A #6588, Albuquerque, New Mexico 87113, USA, exploitant le service LeBonProspect (www.lebonprospect.fr), représentée par [Nom du représentant], en qualité de [Titre],</w:t>
      </w:r>
    </w:p>
    <w:p>
      <w:r>
        <w:t>ci-après « la Société »,</w:t>
      </w:r>
    </w:p>
    <w:p>
      <w:r>
        <w:t>et</w:t>
      </w:r>
    </w:p>
    <w:p>
      <w:r>
        <w:rPr>
          <w:b/>
        </w:rPr>
        <w:t>[Prénom NOM]</w:t>
      </w:r>
      <w:r>
        <w:t>, entrepreneur individuel / [forme sociale], immatriculé(e) sous le numéro SIRET [SIRET], dont le siège est situé [adresse complète], email : [email],</w:t>
      </w:r>
    </w:p>
    <w:p>
      <w:r>
        <w:t>ci-après « l'Apporteur »,</w:t>
      </w:r>
    </w:p>
    <w:p>
      <w:r>
        <w:t>ensemble « les Parties ».</w:t>
      </w:r>
    </w:p>
    <w:p>
      <w:pPr>
        <w:pStyle w:val="Heading2"/>
      </w:pPr>
      <w:r>
        <w:t>Préambule</w:t>
      </w:r>
    </w:p>
    <w:p>
      <w:r>
        <w:t>La Société édite LeBonProspect, un service d'abonnement destiné aux fournisseurs professionnels (B2B). Chaque matin, LeBonProspect adresse à ses abonnés la liste des commerces de leur zone et de leur métier ayant fait l'objet d'une cession de fonds de commerce publiée au Bulletin officiel des annonces civiles et commerciales (BODACC), enrichie de l'identité du repreneur et du téléphone de l'établissement.</w:t>
      </w:r>
    </w:p>
    <w:p>
      <w:r>
        <w:t>L'Apporteur exerce une activité indépendante de développement commercial. Il souhaite mettre en relation la Société avec des clients potentiels et conclure pour son compte des abonnements, moyennant une rémunération exclusivement variable. Les Parties ont convenu de formaliser cette collaboration dans le présent contrat.</w:t>
      </w:r>
    </w:p>
    <w:p>
      <w:pPr>
        <w:pStyle w:val="Heading2"/>
      </w:pPr>
      <w:r>
        <w:t>Article 1 – Objet</w:t>
      </w:r>
    </w:p>
    <w:p>
      <w:r>
        <w:t>L'Apporteur s'engage, de manière indépendante et non exclusive, à présenter le service LeBonProspect à des professionnels susceptibles d'y souscrire et à accompagner ces prospects jusqu'à la souscription d'un abonnement payant, selon les tarifs publics de la Société. La Société s'engage à rémunérer l'Apporteur pour chaque abonnement conclu grâce à son intervention, dans les conditions définies à l'article 4.</w:t>
      </w:r>
    </w:p>
    <w:p>
      <w:pPr>
        <w:pStyle w:val="Heading2"/>
      </w:pPr>
      <w:r>
        <w:t>Article 2 – Indépendance de l'Apporteur</w:t>
      </w:r>
    </w:p>
    <w:p>
      <w:r>
        <w:t>L'Apporteur exerce son activité en toute indépendance, en son nom et sous sa seule responsabilité. Il organise librement son temps de travail, ses méthodes et ses moyens. Il n'est soumis à aucun horaire, aucun objectif imposé, aucun lien de subordination, et n'est intégré à aucun service organisé de la Société.</w:t>
      </w:r>
    </w:p>
    <w:p>
      <w:r>
        <w:t>Les scripts d'appel, documents, adresse email professionnelle et outils mis à sa disposition par la Société constituent une aide facultative et non des directives. L'Apporteur demeure libre d'exercer toute autre activité professionnelle, sous réserve de l'article 8.</w:t>
      </w:r>
    </w:p>
    <w:p>
      <w:r>
        <w:t>L'Apporteur déclare être régulièrement immatriculé (SIRET n° [SIRET]) et à jour de ses obligations sociales et fiscales. Il fournit à la signature un extrait d'immatriculation de moins de trois mois et s'engage à informer la Société sans délai de tout changement de situation. Le présent contrat ne pourra produire aucun effet tant que ces justificatifs n'auront pas été fournis.</w:t>
      </w:r>
    </w:p>
    <w:p>
      <w:pPr>
        <w:pStyle w:val="Heading2"/>
      </w:pPr>
      <w:r>
        <w:t>Article 3 – Prospects fournis et prospects propres</w:t>
      </w:r>
    </w:p>
    <w:p>
      <w:r>
        <w:t>Les Parties distinguent deux catégories de prospects :</w:t>
      </w:r>
    </w:p>
    <w:p>
      <w:pPr>
        <w:pStyle w:val="ListBullet"/>
      </w:pPr>
      <w:r>
        <w:t>Prospects fournis : prospects identifiés par la Société et mis à disposition de l'Apporteur via son espace personnel (tableau de bord). Un prospect fourni est réputé attribué à l'Apporteur dès qu'il le réclame dans son espace, et le demeure tant qu'il n'est pas libéré ou réattribué par la Société.</w:t>
      </w:r>
    </w:p>
    <w:p>
      <w:pPr>
        <w:pStyle w:val="ListBullet"/>
      </w:pPr>
      <w:r>
        <w:t>Prospects propres : prospects issus du réseau personnel de l'Apporteur, non présents dans la base de la Société au moment de leur déclaration. Pour être qualifié de prospect propre, le prospect doit être déclaré par écrit (email à la Société) avant tout premier contact commercial, avec sa raison sociale et son SIREN. La Société confirme ou infirme le statut de prospect propre sous 48 heures ouvrées ; à défaut de réponse, le prospect est réputé propre.</w:t>
      </w:r>
    </w:p>
    <w:p>
      <w:r>
        <w:t>Un prospect déjà client de la Société, en cours de négociation avec la Société ou attribué à un autre apporteur ne peut être déclaré comme prospect propre.</w:t>
      </w:r>
    </w:p>
    <w:p>
      <w:pPr>
        <w:pStyle w:val="Heading2"/>
      </w:pPr>
      <w:r>
        <w:t>Article 4 – Rémunération</w:t>
      </w:r>
    </w:p>
    <w:p>
      <w:r>
        <w:t>La rémunération de l'Apporteur est exclusivement variable. Aucune rémunération fixe, aucun remboursement de frais et aucun minimum garanti ne sont dus.</w:t>
      </w:r>
    </w:p>
    <w:p>
      <w:r>
        <w:rPr>
          <w:b/>
        </w:rPr>
        <w:t xml:space="preserve">4.1 Fait générateur. </w:t>
      </w:r>
      <w:r>
        <w:t>Une commission n'est due que sur un abonnement effectivement souscrit et dont le premier paiement a été réellement encaissé par la Société (paiement confirmé par le prestataire de paiement Stripe). Aucune commission n'est due sur un accord verbal, un devis, une signature non suivie de paiement, ou un paiement contesté, remboursé ou impayé.</w:t>
      </w:r>
    </w:p>
    <w:p>
      <w:r>
        <w:rPr>
          <w:b/>
        </w:rPr>
        <w:t xml:space="preserve">4.2 Assiette. </w:t>
      </w:r>
      <w:r>
        <w:t>La commission est calculée sur le montant hors taxes effectivement encaissé au titre de la mensualité concernée, remises éventuelles déduites.</w:t>
      </w:r>
    </w:p>
    <w:p>
      <w:r>
        <w:rPr>
          <w:b/>
        </w:rPr>
        <w:t>4.3 Taux applicables aux prospects fournis (abonnement sans engagement) :</w:t>
      </w:r>
    </w:p>
    <w:p>
      <w:pPr>
        <w:pStyle w:val="ListBullet"/>
      </w:pPr>
      <w:r>
        <w:t>25 % du montant du premier mois encaissé ;</w:t>
      </w:r>
    </w:p>
    <w:p>
      <w:pPr>
        <w:pStyle w:val="ListBullet"/>
      </w:pPr>
      <w:r>
        <w:t>10 % du montant du deuxième mois encaissé, à condition que le client soit toujours abonné et à jour de paiement à cette date.</w:t>
      </w:r>
    </w:p>
    <w:p>
      <w:r>
        <w:rPr>
          <w:b/>
        </w:rPr>
        <w:t>4.4 Taux applicables aux prospects propres (abonnement sans engagement) :</w:t>
      </w:r>
    </w:p>
    <w:p>
      <w:pPr>
        <w:pStyle w:val="ListBullet"/>
      </w:pPr>
      <w:r>
        <w:t>70 % du montant du premier mois encaissé ;</w:t>
      </w:r>
    </w:p>
    <w:p>
      <w:pPr>
        <w:pStyle w:val="ListBullet"/>
      </w:pPr>
      <w:r>
        <w:t>20 % du montant du deuxième mois encaissé, à condition que le client soit toujours abonné et à jour de paiement à cette date.</w:t>
      </w:r>
    </w:p>
    <w:p>
      <w:r>
        <w:rPr>
          <w:b/>
        </w:rPr>
        <w:t xml:space="preserve">4.5 Abonnements avec engagement (6 ou 12 mois). </w:t>
      </w:r>
      <w:r>
        <w:t>Pour un prospect fourni, la commission est de 100 % du montant du premier mois (avant remise), versée en deux fois : 50 % après encaissement du premier paiement, 50 % à mi-engagement, sous réserve que le client soit toujours actif et à jour de paiement. Pour un prospect propre, les Parties conviendront par écrit du taux applicable avant la conclusion du premier abonnement engagé ; à défaut, le régime des prospects fournis s'applique.</w:t>
      </w:r>
    </w:p>
    <w:p>
      <w:r>
        <w:rPr>
          <w:b/>
        </w:rPr>
        <w:t xml:space="preserve">4.6 Période de lancement. </w:t>
      </w:r>
      <w:r>
        <w:t>Pendant les 30 jours suivant la signature du présent contrat, le taux du premier mois sur les prospects fournis est porté à 35 % au lieu de 25 %.</w:t>
      </w:r>
    </w:p>
    <w:p>
      <w:r>
        <w:rPr>
          <w:b/>
        </w:rPr>
        <w:t xml:space="preserve">4.7 Paliers de volume. </w:t>
      </w:r>
      <w:r>
        <w:t>Lorsque l'Apporteur atteint, au cours d'un même mois civil, 5, 7 puis 10 abonnements donnant droit à commission, une prime de 75 € est due à chaque palier franchi, cumulable (soit 225 € au maximum par mois). Les abonnements issus de prospects fournis et de prospects propres sont comptabilisés ensemble.</w:t>
      </w:r>
    </w:p>
    <w:p>
      <w:r>
        <w:rPr>
          <w:b/>
        </w:rPr>
        <w:t xml:space="preserve">4.8 Non-cumul et exclusions. </w:t>
      </w:r>
      <w:r>
        <w:t>Aucune commission n'est due au-delà du deuxième mois d'abonnement, ni sur les renouvellements, upgrades ou abonnements ultérieurs du même client, sauf accord écrit contraire. En cas de remboursement du client par la Société dans les 30 jours suivant l'encaissement, la commission correspondante n'est pas due ou, si elle a déjà été versée, est déduite du prochain règlement.</w:t>
      </w:r>
    </w:p>
    <w:p>
      <w:pPr>
        <w:pStyle w:val="Heading2"/>
      </w:pPr>
      <w:r>
        <w:t>Article 5 – Facturation et paiement</w:t>
      </w:r>
    </w:p>
    <w:p>
      <w:r>
        <w:t>La Société tient à disposition de l'Apporteur, dans son espace personnel, l'état des abonnements conclus et des commissions correspondantes. Le 1er de chaque mois, la Société communique à l'Apporteur le récapitulatif des commissions acquises au titre des encaissements du mois précédent.</w:t>
      </w:r>
    </w:p>
    <w:p>
      <w:r>
        <w:t>L'Apporteur adresse à la Société une facture conforme à la réglementation en vigueur, mentionnant son SIRET, sur la base de ce récapitulatif. Aucune commission ne peut être versée sans facture.</w:t>
      </w:r>
    </w:p>
    <w:p>
      <w:r>
        <w:rPr>
          <w:b/>
        </w:rPr>
        <w:t xml:space="preserve">Les commissions sont payées à date fixe, le 9 de chaque mois, par virement instantané, pour l'ensemble des encaissements réalisés au cours du mois précédent, sous réserve de réception de la facture au plus tard le 5 du mois. </w:t>
      </w:r>
      <w:r>
        <w:t>À titre d'exemple, un abonnement dont le premier paiement est encaissé le 20 septembre donne lieu au versement de la commission le 9 octobre.</w:t>
      </w:r>
    </w:p>
    <w:p>
      <w:r>
        <w:t>L'Apporteur fait son affaire de l'ensemble des charges, cotisations, impôts et taxes afférents à sa rémunération.</w:t>
      </w:r>
    </w:p>
    <w:p>
      <w:pPr>
        <w:pStyle w:val="Heading2"/>
      </w:pPr>
      <w:r>
        <w:t>Article 6 – Obligations de l'Apporteur</w:t>
      </w:r>
    </w:p>
    <w:p>
      <w:pPr>
        <w:pStyle w:val="ListBullet"/>
      </w:pPr>
      <w:r>
        <w:t>Présenter le service de manière exacte et loyale, en se fondant exclusivement sur les informations et tarifs communiqués par la Société ; ne prendre aucun engagement, ne consentir aucune remise ni condition particulière au nom de la Société sans son accord écrit préalable.</w:t>
      </w:r>
    </w:p>
    <w:p>
      <w:pPr>
        <w:pStyle w:val="ListBullet"/>
      </w:pPr>
      <w:r>
        <w:t>Ne jamais inventer, altérer ou promettre des données, chiffres ou résultats. Toute donnée communiquée à un prospect doit être vérifiable.</w:t>
      </w:r>
    </w:p>
    <w:p>
      <w:pPr>
        <w:pStyle w:val="ListBullet"/>
      </w:pPr>
      <w:r>
        <w:t>Respecter la réglementation applicable au démarchage professionnel, notamment le droit d'opposition des personnes démarchées, et la réglementation relative à la protection des données personnelles.</w:t>
      </w:r>
    </w:p>
    <w:p>
      <w:pPr>
        <w:pStyle w:val="ListBullet"/>
      </w:pPr>
      <w:r>
        <w:t>Renseigner avec exactitude, dans son espace personnel, le statut de chaque prospect et déclarer tout abonnement conclu le jour même.</w:t>
      </w:r>
    </w:p>
    <w:p>
      <w:pPr>
        <w:pStyle w:val="ListBullet"/>
      </w:pPr>
      <w:r>
        <w:t>Utiliser l'adresse email professionnelle fournie par la Société exclusivement dans le cadre du présent contrat et la restituer à son terme.</w:t>
      </w:r>
    </w:p>
    <w:p>
      <w:pPr>
        <w:pStyle w:val="ListBullet"/>
      </w:pPr>
      <w:r>
        <w:t>Adopter en toutes circonstances un comportement compatible avec l'image de la Société.</w:t>
      </w:r>
    </w:p>
    <w:p>
      <w:pPr>
        <w:pStyle w:val="Heading2"/>
      </w:pPr>
      <w:r>
        <w:t>Article 7 – Obligations de la Société</w:t>
      </w:r>
    </w:p>
    <w:p>
      <w:pPr>
        <w:pStyle w:val="ListBullet"/>
      </w:pPr>
      <w:r>
        <w:t>Mettre à disposition de l'Apporteur un espace personnel, des prospects, des supports de présentation et une adresse email professionnelle.</w:t>
      </w:r>
    </w:p>
    <w:p>
      <w:pPr>
        <w:pStyle w:val="ListBullet"/>
      </w:pPr>
      <w:r>
        <w:t>Communiquer à l'Apporteur les tarifs, conditions générales et toute évolution du service.</w:t>
      </w:r>
    </w:p>
    <w:p>
      <w:pPr>
        <w:pStyle w:val="ListBullet"/>
      </w:pPr>
      <w:r>
        <w:t>Tenir un état sincère des abonnements conclus et des encaissements, et payer les commissions dans les conditions de l'article 5.</w:t>
      </w:r>
    </w:p>
    <w:p>
      <w:pPr>
        <w:pStyle w:val="Heading2"/>
      </w:pPr>
      <w:r>
        <w:t>Article 8 – Non-exclusivité et non-concurrence</w:t>
      </w:r>
    </w:p>
    <w:p>
      <w:r>
        <w:t>Le présent contrat n'emporte aucune exclusivité, ni au profit de la Société ni au profit de l'Apporteur. L'Apporteur reste libre d'exercer toute activité pour tout autre client.</w:t>
      </w:r>
    </w:p>
    <w:p>
      <w:r>
        <w:t>Toutefois, pendant la durée du contrat et pendant six (6) mois à compter de sa cessation, l'Apporteur s'interdit de proposer, commercialiser ou contribuer à développer, directement ou indirectement, un service concurrent de LeBonProspect, c'est-à-dire tout service de détection, de tri ou de fourniture de contacts fondé sur les cessions de fonds de commerce ou les publications du BODACC à destination de fournisseurs professionnels. Cette restriction est limitée au territoire français.</w:t>
      </w:r>
    </w:p>
    <w:p>
      <w:pPr>
        <w:pStyle w:val="Heading2"/>
      </w:pPr>
      <w:r>
        <w:t>Article 9 – Confidentialité et données</w:t>
      </w:r>
    </w:p>
    <w:p>
      <w:r>
        <w:t>L'Apporteur s'engage à garder strictement confidentiels, pendant le contrat et cinq (5) ans après sa cessation, les informations non publiques de la Société : méthodes, sources, outils, scripts, tarifs négociés, listes de prospects et de clients, résultats commerciaux. Les prospects fournis et toute donnée issue de la base de la Société demeurent sa propriété exclusive ; l'Apporteur s'interdit de les copier, exporter, conserver ou utiliser à d'autres fins que l'exécution du présent contrat, et les détruit à son terme.</w:t>
      </w:r>
    </w:p>
    <w:p>
      <w:r>
        <w:t>La Société traite les données personnelles de l'Apporteur (identité, coordonnées, données de facturation) pour les seuls besoins de l'exécution du contrat, conformément à la réglementation applicable.</w:t>
      </w:r>
    </w:p>
    <w:p>
      <w:pPr>
        <w:pStyle w:val="Heading2"/>
      </w:pPr>
      <w:r>
        <w:t>Article 10 – Propriété intellectuelle</w:t>
      </w:r>
    </w:p>
    <w:p>
      <w:r>
        <w:t>La marque LeBonProspect, le site, les supports, scripts, modèles d'emails et tous contenus mis à disposition restent la propriété exclusive de la Société. L'Apporteur bénéficie d'un droit d'usage non exclusif, non cessible, limité à l'exécution du présent contrat.</w:t>
      </w:r>
    </w:p>
    <w:p>
      <w:pPr>
        <w:pStyle w:val="Heading2"/>
      </w:pPr>
      <w:r>
        <w:t>Article 11 – Durée et résiliation</w:t>
      </w:r>
    </w:p>
    <w:p>
      <w:r>
        <w:t>Le présent contrat prend effet à sa signature, sous réserve de la fourniture des justificatifs visés à l'article 2, pour une durée indéterminée. Chaque Partie peut y mettre fin à tout moment, sans motif, par email ou lettre recommandée, moyennant un préavis de quinze (15) jours.</w:t>
      </w:r>
    </w:p>
    <w:p>
      <w:r>
        <w:t>En cas de manquement grave de l'une des Parties (notamment : communication d'informations fausses à un prospect, violation de la confidentialité ou de la non-concurrence, comportement portant atteinte à l'image de la Société, non-paiement des commissions dues), l'autre Partie peut résilier le contrat sans préavis, par notification écrite.</w:t>
      </w:r>
    </w:p>
    <w:p>
      <w:r>
        <w:t>Les commissions acquises au jour de la cessation (premier paiement encaissé avant cette date) restent dues et sont réglées selon l'article 5. Les commissions de deuxième mois et les seconds versements d'abonnements engagés dont le fait générateur intervient après la cessation restent dus dès lors que l'abonnement a été conclu pendant le contrat, sauf résiliation pour manquement grave de l'Apporteur.</w:t>
      </w:r>
    </w:p>
    <w:p>
      <w:pPr>
        <w:pStyle w:val="Heading2"/>
      </w:pPr>
      <w:r>
        <w:t>Article 12 – Responsabilité</w:t>
      </w:r>
    </w:p>
    <w:p>
      <w:r>
        <w:t>L'Apporteur est seul responsable des engagements qu'il prendrait en dehors du cadre du présent contrat et des conséquences de tout manquement à la réglementation applicable à son activité. La Société n'est pas responsable des résultats commerciaux de l'Apporteur, aucun volume de prospects ni de conclusions n'étant garanti.</w:t>
      </w:r>
    </w:p>
    <w:p>
      <w:pPr>
        <w:pStyle w:val="Heading2"/>
      </w:pPr>
      <w:r>
        <w:t>Article 13 – Dispositions générales</w:t>
      </w:r>
    </w:p>
    <w:p>
      <w:r>
        <w:t>Le présent contrat constitue l'intégralité de l'accord des Parties et remplace tout échange antérieur. Toute modification requiert un écrit signé des deux Parties. Si une clause est jugée nulle, les autres demeurent applicables. Le fait pour une Partie de ne pas se prévaloir d'un manquement ne vaut pas renonciation. Les Parties reconnaissent que le présent contrat, conclu entre professionnels indépendants, ne constitue ni un contrat de travail ni un contrat d'agent commercial au sens des articles L.134-1 et suivants du Code de commerce.</w:t>
      </w:r>
    </w:p>
    <w:p>
      <w:pPr>
        <w:pStyle w:val="Heading2"/>
      </w:pPr>
      <w:r>
        <w:t>Article 14 – Droit applicable et litiges</w:t>
      </w:r>
    </w:p>
    <w:p>
      <w:r>
        <w:t>Le présent contrat est soumis au droit français. En cas de différend, les Parties s'efforceront de trouver une solution amiable dans un délai de trente (30) jours. À défaut, le litige sera porté devant les tribunaux compétents de Paris.</w:t>
      </w:r>
    </w:p>
    <w:p>
      <w:r/>
    </w:p>
    <w:p>
      <w:r>
        <w:t>Fait en deux exemplaires, à [Lieu], le [Date].</w:t>
      </w:r>
    </w:p>
    <w:p>
      <w:r/>
    </w:p>
    <w:tbl>
      <w:tblPr>
        <w:tblStyle w:val="TableGrid"/>
        <w:tblW w:type="auto" w:w="0"/>
        <w:tblLook w:firstColumn="1" w:firstRow="1" w:lastColumn="0" w:lastRow="0" w:noHBand="0" w:noVBand="1" w:val="04A0"/>
      </w:tblPr>
      <w:tblGrid>
        <w:gridCol w:w="4759"/>
        <w:gridCol w:w="4759"/>
      </w:tblGrid>
      <w:tr>
        <w:tc>
          <w:tcPr>
            <w:tcW w:type="dxa" w:w="4759"/>
          </w:tcPr>
          <w:p>
            <w:r>
              <w:rPr>
                <w:b/>
              </w:rPr>
              <w:t>Pour la Société</w:t>
            </w:r>
          </w:p>
        </w:tc>
        <w:tc>
          <w:tcPr>
            <w:tcW w:type="dxa" w:w="4759"/>
          </w:tcPr>
          <w:p>
            <w:r>
              <w:rPr>
                <w:b/>
              </w:rPr>
              <w:t>Pour l'Apporteur</w:t>
            </w:r>
          </w:p>
        </w:tc>
      </w:tr>
      <w:tr>
        <w:tc>
          <w:tcPr>
            <w:tcW w:type="dxa" w:w="4759"/>
          </w:tcPr>
          <w:p>
            <w:r>
              <w:t>KHIRA AGENCY LLC</w:t>
              <w:br/>
              <w:t>[Nom, Titre]</w:t>
              <w:br/>
              <w:br/>
              <w:t>Signature :</w:t>
              <w:br/>
              <w:br/>
              <w:br/>
            </w:r>
          </w:p>
        </w:tc>
        <w:tc>
          <w:tcPr>
            <w:tcW w:type="dxa" w:w="4759"/>
          </w:tcPr>
          <w:p>
            <w:r>
              <w:t>[Prénom NOM]</w:t>
              <w:br/>
              <w:t>SIRET [SIRET]</w:t>
              <w:br/>
              <w:br/>
              <w:t>Signature (précédée de « Lu et approuvé ») :</w:t>
              <w:br/>
              <w:br/>
              <w:br/>
            </w:r>
          </w:p>
        </w:tc>
      </w:tr>
    </w:tbl>
    <w:p>
      <w:r/>
    </w:p>
    <w:p>
      <w:r>
        <w:rPr>
          <w:b/>
        </w:rPr>
        <w:t>Annexe 1 – Grille de rémunération (récapitulatif)</w:t>
      </w:r>
    </w:p>
    <w:tbl>
      <w:tblPr>
        <w:tblStyle w:val="TableGrid"/>
        <w:tblW w:type="auto" w:w="0"/>
        <w:tblLook w:firstColumn="1" w:firstRow="1" w:lastColumn="0" w:lastRow="0" w:noHBand="0" w:noVBand="1" w:val="04A0"/>
      </w:tblPr>
      <w:tblGrid>
        <w:gridCol w:w="2379"/>
        <w:gridCol w:w="2379"/>
        <w:gridCol w:w="2379"/>
        <w:gridCol w:w="2379"/>
      </w:tblGrid>
      <w:tr>
        <w:tc>
          <w:tcPr>
            <w:tcW w:type="dxa" w:w="2379"/>
          </w:tcPr>
          <w:p>
            <w:r>
              <w:rPr>
                <w:b/>
              </w:rPr>
              <w:t>Situation</w:t>
            </w:r>
          </w:p>
        </w:tc>
        <w:tc>
          <w:tcPr>
            <w:tcW w:type="dxa" w:w="2379"/>
          </w:tcPr>
          <w:p>
            <w:r>
              <w:rPr>
                <w:b/>
              </w:rPr>
              <w:t>Mois 1</w:t>
            </w:r>
          </w:p>
        </w:tc>
        <w:tc>
          <w:tcPr>
            <w:tcW w:type="dxa" w:w="2379"/>
          </w:tcPr>
          <w:p>
            <w:r>
              <w:rPr>
                <w:b/>
              </w:rPr>
              <w:t>Mois 2</w:t>
            </w:r>
          </w:p>
        </w:tc>
        <w:tc>
          <w:tcPr>
            <w:tcW w:type="dxa" w:w="2379"/>
          </w:tcPr>
          <w:p>
            <w:r>
              <w:rPr>
                <w:b/>
              </w:rPr>
              <w:t>Conditions</w:t>
            </w:r>
          </w:p>
        </w:tc>
      </w:tr>
      <w:tr>
        <w:tc>
          <w:tcPr>
            <w:tcW w:type="dxa" w:w="2379"/>
          </w:tcPr>
          <w:p>
            <w:r>
              <w:t>Prospect fourni, sans engagement</w:t>
            </w:r>
          </w:p>
        </w:tc>
        <w:tc>
          <w:tcPr>
            <w:tcW w:type="dxa" w:w="2379"/>
          </w:tcPr>
          <w:p>
            <w:r>
              <w:t>25 % (35 % pendant les 30 premiers jours)</w:t>
            </w:r>
          </w:p>
        </w:tc>
        <w:tc>
          <w:tcPr>
            <w:tcW w:type="dxa" w:w="2379"/>
          </w:tcPr>
          <w:p>
            <w:r>
              <w:t>10 %</w:t>
            </w:r>
          </w:p>
        </w:tc>
        <w:tc>
          <w:tcPr>
            <w:tcW w:type="dxa" w:w="2379"/>
          </w:tcPr>
          <w:p>
            <w:r>
              <w:t>M2 si client abonné et à jour</w:t>
            </w:r>
          </w:p>
        </w:tc>
      </w:tr>
      <w:tr>
        <w:tc>
          <w:tcPr>
            <w:tcW w:type="dxa" w:w="2379"/>
          </w:tcPr>
          <w:p>
            <w:r>
              <w:t>Prospect propre, sans engagement</w:t>
            </w:r>
          </w:p>
        </w:tc>
        <w:tc>
          <w:tcPr>
            <w:tcW w:type="dxa" w:w="2379"/>
          </w:tcPr>
          <w:p>
            <w:r>
              <w:t>70 %</w:t>
            </w:r>
          </w:p>
        </w:tc>
        <w:tc>
          <w:tcPr>
            <w:tcW w:type="dxa" w:w="2379"/>
          </w:tcPr>
          <w:p>
            <w:r>
              <w:t>20 %</w:t>
            </w:r>
          </w:p>
        </w:tc>
        <w:tc>
          <w:tcPr>
            <w:tcW w:type="dxa" w:w="2379"/>
          </w:tcPr>
          <w:p>
            <w:r>
              <w:t>M2 si client abonné et à jour ; prospect déclaré avant contact</w:t>
            </w:r>
          </w:p>
        </w:tc>
      </w:tr>
      <w:tr>
        <w:tc>
          <w:tcPr>
            <w:tcW w:type="dxa" w:w="2379"/>
          </w:tcPr>
          <w:p>
            <w:r>
              <w:t>Prospect fourni, engagement 6 ou 12 mois</w:t>
            </w:r>
          </w:p>
        </w:tc>
        <w:tc>
          <w:tcPr>
            <w:tcW w:type="dxa" w:w="2379"/>
          </w:tcPr>
          <w:p>
            <w:r>
              <w:t>100 % en 2 × 50 %</w:t>
            </w:r>
          </w:p>
        </w:tc>
        <w:tc>
          <w:tcPr>
            <w:tcW w:type="dxa" w:w="2379"/>
          </w:tcPr>
          <w:p>
            <w:r>
              <w:t>—</w:t>
            </w:r>
          </w:p>
        </w:tc>
        <w:tc>
          <w:tcPr>
            <w:tcW w:type="dxa" w:w="2379"/>
          </w:tcPr>
          <w:p>
            <w:r>
              <w:t>2e moitié à mi-engagement si client actif</w:t>
            </w:r>
          </w:p>
        </w:tc>
      </w:tr>
      <w:tr>
        <w:tc>
          <w:tcPr>
            <w:tcW w:type="dxa" w:w="2379"/>
          </w:tcPr>
          <w:p>
            <w:r>
              <w:t>Paliers de volume (tous prospects)</w:t>
            </w:r>
          </w:p>
        </w:tc>
        <w:tc>
          <w:tcPr>
            <w:tcW w:type="dxa" w:w="2379"/>
          </w:tcPr>
          <w:p>
            <w:r>
              <w:t>+75 € à 5, 7 et 10 abonnements / mois</w:t>
            </w:r>
          </w:p>
        </w:tc>
        <w:tc>
          <w:tcPr>
            <w:tcW w:type="dxa" w:w="2379"/>
          </w:tcPr>
          <w:p>
            <w:r>
              <w:t>—</w:t>
            </w:r>
          </w:p>
        </w:tc>
        <w:tc>
          <w:tcPr>
            <w:tcW w:type="dxa" w:w="2379"/>
          </w:tcPr>
          <w:p>
            <w:r>
              <w:t>Cumulables, 225 € max / mois</w:t>
            </w:r>
          </w:p>
        </w:tc>
      </w:tr>
      <w:tr>
        <w:tc>
          <w:tcPr>
            <w:tcW w:type="dxa" w:w="2379"/>
          </w:tcPr>
          <w:p>
            <w:r>
              <w:t>Paiement</w:t>
            </w:r>
          </w:p>
        </w:tc>
        <w:tc>
          <w:tcPr>
            <w:tcW w:type="dxa" w:w="2379"/>
          </w:tcPr>
          <w:p>
            <w:r>
              <w:t>Le 9 du mois suivant l'encaissement, virement instantané</w:t>
            </w:r>
          </w:p>
        </w:tc>
        <w:tc>
          <w:tcPr>
            <w:tcW w:type="dxa" w:w="2379"/>
          </w:tcPr>
          <w:p>
            <w:r/>
          </w:p>
        </w:tc>
        <w:tc>
          <w:tcPr>
            <w:tcW w:type="dxa" w:w="2379"/>
          </w:tcPr>
          <w:p>
            <w:r/>
          </w:p>
        </w:tc>
      </w:tr>
    </w:tbl>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LeBonProspect – Contrat d'apporteur d'affaires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