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40"/>
          <w:szCs w:val="40"/>
        </w:rPr>
        <w:t xml:space="preserve">Case 2: Demand Planning Framework</w:t>
      </w:r>
    </w:p>
    <w:p>
      <w:pPr>
        <w:spacing w:after="80" w:before="0"/>
        <w:jc w:val="center"/>
      </w:pPr>
      <w:r>
        <w:rPr>
          <w:rFonts w:ascii="Arial" w:cs="Arial" w:eastAsia="Arial" w:hAnsi="Arial"/>
          <w:i/>
          <w:iCs/>
          <w:color w:val="3A7CA5"/>
          <w:sz w:val="24"/>
          <w:szCs w:val="24"/>
        </w:rPr>
        <w:t xml:space="preserve">AI Agent Orchestration for Strategic License Procurement</w:t>
      </w:r>
    </w:p>
    <w:p>
      <w:pPr>
        <w:spacing w:after="320" w:before="0"/>
        <w:jc w:val="center"/>
      </w:pPr>
      <w:r>
        <w:rPr>
          <w:rFonts w:ascii="Arial" w:cs="Arial" w:eastAsia="Arial" w:hAnsi="Arial"/>
          <w:color w:val="888888"/>
          <w:sz w:val="20"/>
          <w:szCs w:val="20"/>
        </w:rPr>
        <w:t xml:space="preserve">Confidential  ·  Internal Working Document</w:t>
      </w:r>
    </w:p>
    <w:p>
      <w:pPr>
        <w:pBdr>
          <w:bottom w:val="single" w:color="CCCCCC" w:sz="4" w:space="1"/>
        </w:pBdr>
        <w:spacing w:after="160" w:before="160"/>
      </w:pPr>
    </w:p>
    <w:p>
      <w:pPr>
        <w:pStyle w:val="Heading1"/>
        <w:spacing w:after="160" w:before="320"/>
      </w:pPr>
      <w:r>
        <w:rPr>
          <w:rFonts w:ascii="Arial" w:cs="Arial" w:eastAsia="Arial" w:hAnsi="Arial"/>
          <w:b/>
          <w:bCs/>
          <w:color w:val="2E4057"/>
          <w:sz w:val="28"/>
          <w:szCs w:val="28"/>
        </w:rPr>
        <w:t xml:space="preserve">1. Overview</w:t>
      </w:r>
    </w:p>
    <w:p>
      <w:pPr>
        <w:spacing w:after="80" w:before="80"/>
      </w:pPr>
      <w:r>
        <w:rPr>
          <w:rFonts w:ascii="Arial" w:cs="Arial" w:eastAsia="Arial" w:hAnsi="Arial"/>
          <w:sz w:val="22"/>
          <w:szCs w:val="22"/>
        </w:rPr>
        <w:t xml:space="preserve">Case 2 defines the Specialist Agent pathway for strategic license procurement — triggered when a user requests a new or upgraded software license that cannot be fulfilled from existing inventory. It operates as part of a Two-Agent Orchestration model alongside Case 3 (Maintenance Agent), with the chatbot interface serving as the unified entry point for all procurement intents.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500"/>
        <w:gridCol w:w="2160"/>
      </w:tblGrid>
      <w:tr>
        <w:trPr>
          <w:tblHeader/>
        </w:trPr>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Nature</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Agent</w:t>
            </w:r>
          </w:p>
        </w:tc>
      </w:tr>
      <w:tr>
        <w:tc>
          <w:tcPr>
            <w:tcW w:type="dxa" w:w="1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Case 2</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Strategic Discovery</w:t>
            </w:r>
          </w:p>
        </w:tc>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New tool purchase / service tier upgrade</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Specialist Agent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 / Operational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forecasted volume growth, renewals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 Agent</w:t>
            </w:r>
          </w:p>
        </w:tc>
      </w:tr>
    </w:tbl>
    <w:p>
      <w:pPr>
        <w:spacing w:after="0" w:before="160"/>
      </w:pPr>
    </w:p>
    <w:p>
      <w:pPr>
        <w:pBdr>
          <w:bottom w:val="single" w:color="CCCCCC" w:sz="4" w:space="1"/>
        </w:pBdr>
        <w:spacing w:after="160" w:before="160"/>
      </w:pPr>
    </w:p>
    <w:p>
      <w:pPr>
        <w:pStyle w:val="Heading1"/>
        <w:spacing w:after="160" w:before="320"/>
      </w:pPr>
      <w:r>
        <w:rPr>
          <w:rFonts w:ascii="Arial" w:cs="Arial" w:eastAsia="Arial" w:hAnsi="Arial"/>
          <w:b/>
          <w:bCs/>
          <w:color w:val="2E4057"/>
          <w:sz w:val="28"/>
          <w:szCs w:val="28"/>
        </w:rPr>
        <w:t xml:space="preserve">2. Entry Point: Chatbot Intent Detection</w:t>
      </w:r>
    </w:p>
    <w:p>
      <w:pPr>
        <w:spacing w:after="80" w:before="80"/>
      </w:pPr>
      <w:r>
        <w:rPr>
          <w:rFonts w:ascii="Arial" w:cs="Arial" w:eastAsia="Arial" w:hAnsi="Arial"/>
          <w:sz w:val="22"/>
          <w:szCs w:val="22"/>
        </w:rPr>
        <w:t xml:space="preserve">All procurement flows originate from the conversational chatbot. When a user expresses intent to acquire a license (e.g. “I want to buy license X from vendor Y”), the system parses the intent and initiates the routing logic.</w:t>
      </w:r>
    </w:p>
    <w:p>
      <w:pPr>
        <w:spacing w:after="80" w:before="120"/>
      </w:pPr>
    </w:p>
    <w:p>
      <w:pPr>
        <w:pStyle w:val="Heading2"/>
        <w:spacing w:after="120" w:before="240"/>
      </w:pPr>
      <w:r>
        <w:rPr>
          <w:rFonts w:ascii="Arial" w:cs="Arial" w:eastAsia="Arial" w:hAnsi="Arial"/>
          <w:b/>
          <w:bCs/>
          <w:color w:val="3A7CA5"/>
          <w:sz w:val="24"/>
          <w:szCs w:val="24"/>
        </w:rPr>
        <w:t xml:space="preserve">Disambiguation Gate</w:t>
      </w:r>
    </w:p>
    <w:p>
      <w:pPr>
        <w:spacing w:after="80" w:before="80"/>
      </w:pPr>
      <w:r>
        <w:rPr>
          <w:rFonts w:ascii="Arial" w:cs="Arial" w:eastAsia="Arial" w:hAnsi="Arial"/>
          <w:sz w:val="22"/>
          <w:szCs w:val="22"/>
        </w:rPr>
        <w:t xml:space="preserve">Before routing begins, the chatbot checks for ambiguity in the stated vendor or license name. If ambiguity is detected, clarification is requested from the user prior to any agent being invoked. This keeps downstream agents clean and prevents misrouted procurement flows.</w:t>
      </w:r>
    </w:p>
    <w:p>
      <w:pPr>
        <w:spacing w:after="0" w:before="160"/>
      </w:pPr>
    </w:p>
    <w:p>
      <w:pPr>
        <w:pBdr>
          <w:bottom w:val="single" w:color="CCCCCC" w:sz="4" w:space="1"/>
        </w:pBdr>
        <w:spacing w:after="160" w:before="160"/>
      </w:pPr>
    </w:p>
    <w:p>
      <w:pPr>
        <w:pStyle w:val="Heading1"/>
        <w:spacing w:after="160" w:before="320"/>
      </w:pPr>
      <w:r>
        <w:rPr>
          <w:rFonts w:ascii="Arial" w:cs="Arial" w:eastAsia="Arial" w:hAnsi="Arial"/>
          <w:b/>
          <w:bCs/>
          <w:color w:val="2E4057"/>
          <w:sz w:val="28"/>
          <w:szCs w:val="28"/>
        </w:rPr>
        <w:t xml:space="preserve">3. Safety Gate: Buffer Check</w:t>
      </w:r>
    </w:p>
    <w:p>
      <w:pPr>
        <w:spacing w:after="80" w:before="80"/>
      </w:pPr>
      <w:r>
        <w:rPr>
          <w:rFonts w:ascii="Arial" w:cs="Arial" w:eastAsia="Arial" w:hAnsi="Arial"/>
          <w:sz w:val="22"/>
          <w:szCs w:val="22"/>
        </w:rPr>
        <w:t xml:space="preserve">Before any procurement action is initiated, the agent performs an inventory check against the Available Buffer, defined as:</w:t>
      </w:r>
    </w:p>
    <w:p>
      <w:pPr>
        <w:spacing w:after="80" w:before="80"/>
      </w:pPr>
    </w:p>
    <w:p>
      <w:pPr>
        <w:spacing w:after="80" w:before="80"/>
        <w:jc w:val="center"/>
      </w:pPr>
      <w:r>
        <w:rPr>
          <w:rFonts w:ascii="Arial" w:cs="Arial" w:eastAsia="Arial" w:hAnsi="Arial"/>
          <w:b/>
          <w:bCs/>
          <w:color w:val="2E4057"/>
          <w:sz w:val="24"/>
          <w:szCs w:val="24"/>
        </w:rPr>
        <w:t xml:space="preserve">Available Buffer = Contracted Seats − Active Users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Buffer Status</w:t>
            </w:r>
          </w:p>
        </w:tc>
        <w:tc>
          <w:tcPr>
            <w:tcW w:type="dxa" w:w="5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Buffer available for the requested SKU</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Reallocate existing license — no procurement triggered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Buffer empty, existing license category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to Case 3 for renewal or expansion</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No existing license — new category entirely</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Route to Case 2 Specialist Agent</w:t>
            </w:r>
          </w:p>
        </w:tc>
      </w:tr>
    </w:tbl>
    <w:p>
      <w:pPr>
        <w:spacing w:after="0" w:before="160"/>
      </w:pPr>
    </w:p>
    <w:p>
      <w:pPr>
        <w:pBdr>
          <w:bottom w:val="single" w:color="CCCCCC" w:sz="4" w:space="1"/>
        </w:pBdr>
        <w:spacing w:after="160" w:before="160"/>
      </w:pPr>
    </w:p>
    <w:p>
      <w:pPr>
        <w:pStyle w:val="Heading1"/>
        <w:spacing w:after="160" w:before="320"/>
      </w:pPr>
      <w:r>
        <w:rPr>
          <w:rFonts w:ascii="Arial" w:cs="Arial" w:eastAsia="Arial" w:hAnsi="Arial"/>
          <w:b/>
          <w:bCs/>
          <w:color w:val="2E4057"/>
          <w:sz w:val="28"/>
          <w:szCs w:val="28"/>
        </w:rPr>
        <w:t xml:space="preserve">4. Data Foundation</w:t>
      </w:r>
    </w:p>
    <w:p>
      <w:pPr>
        <w:spacing w:after="80" w:before="80"/>
      </w:pPr>
      <w:r>
        <w:rPr>
          <w:rFonts w:ascii="Arial" w:cs="Arial" w:eastAsia="Arial" w:hAnsi="Arial"/>
          <w:sz w:val="22"/>
          <w:szCs w:val="22"/>
        </w:rPr>
        <w:t xml:space="preserve">Three core datasets underpin Case 2 automation:</w:t>
      </w:r>
    </w:p>
    <w:p>
      <w:pPr>
        <w:spacing w:after="80" w:before="120"/>
      </w:pPr>
    </w:p>
    <w:p>
      <w:pPr>
        <w:pStyle w:val="Heading2"/>
        <w:spacing w:after="120" w:before="240"/>
      </w:pPr>
      <w:r>
        <w:rPr>
          <w:rFonts w:ascii="Arial" w:cs="Arial" w:eastAsia="Arial" w:hAnsi="Arial"/>
          <w:b/>
          <w:bCs/>
          <w:color w:val="3A7CA5"/>
          <w:sz w:val="24"/>
          <w:szCs w:val="24"/>
        </w:rPr>
        <w:t xml:space="preserve">HR Data</w:t>
      </w:r>
    </w:p>
    <w:p>
      <w:pPr>
        <w:spacing w:after="80" w:before="80"/>
      </w:pPr>
      <w:r>
        <w:rPr>
          <w:rFonts w:ascii="Arial" w:cs="Arial" w:eastAsia="Arial" w:hAnsi="Arial"/>
          <w:sz w:val="22"/>
          <w:szCs w:val="22"/>
        </w:rPr>
        <w:t xml:space="preserve">Provides the demand signal. Key fields:</w:t>
      </w:r>
    </w:p>
    <w:p>
      <w:pPr>
        <w:pStyle w:val="ListParagraph"/>
        <w:numPr>
          <w:ilvl w:val="0"/>
          <w:numId w:val="2"/>
        </w:numPr>
        <w:spacing w:after="60" w:before="60"/>
      </w:pPr>
      <w:r>
        <w:rPr>
          <w:rFonts w:ascii="Arial" w:cs="Arial" w:eastAsia="Arial" w:hAnsi="Arial"/>
          <w:b w:val="false"/>
          <w:bCs w:val="false"/>
          <w:sz w:val="22"/>
          <w:szCs w:val="22"/>
        </w:rPr>
        <w:t xml:space="preserve">employee_id, pillar_dept, job_role, job_level</w:t>
      </w:r>
    </w:p>
    <w:p>
      <w:pPr>
        <w:pStyle w:val="ListParagraph"/>
        <w:numPr>
          <w:ilvl w:val="0"/>
          <w:numId w:val="2"/>
        </w:numPr>
        <w:spacing w:after="60" w:before="60"/>
      </w:pPr>
      <w:r>
        <w:rPr>
          <w:rFonts w:ascii="Arial" w:cs="Arial" w:eastAsia="Arial" w:hAnsi="Arial"/>
          <w:b w:val="false"/>
          <w:bCs w:val="false"/>
          <w:sz w:val="22"/>
          <w:szCs w:val="22"/>
        </w:rPr>
        <w:t xml:space="preserve">is_active — used directly in buffer check and reclamation logic</w:t>
      </w:r>
    </w:p>
    <w:p>
      <w:pPr>
        <w:pStyle w:val="ListParagraph"/>
        <w:numPr>
          <w:ilvl w:val="0"/>
          <w:numId w:val="2"/>
        </w:numPr>
        <w:spacing w:after="60" w:before="60"/>
      </w:pPr>
      <w:r>
        <w:rPr>
          <w:rFonts w:ascii="Arial" w:cs="Arial" w:eastAsia="Arial" w:hAnsi="Arial"/>
          <w:b w:val="false"/>
          <w:bCs w:val="false"/>
          <w:sz w:val="22"/>
          <w:szCs w:val="22"/>
        </w:rPr>
        <w:t xml:space="preserve">hire_date, planned_headcount — for forward demand forecasting</w:t>
      </w:r>
    </w:p>
    <w:p>
      <w:pPr>
        <w:spacing w:after="80" w:before="80"/>
      </w:pPr>
      <w:r>
        <w:rPr>
          <w:rFonts w:ascii="Arial" w:cs="Arial" w:eastAsia="Arial" w:hAnsi="Arial"/>
          <w:i/>
          <w:iCs/>
          <w:color w:val="666666"/>
          <w:sz w:val="22"/>
          <w:szCs w:val="22"/>
        </w:rPr>
        <w:t xml:space="preserve">Recommended addition: a license_id or current_license column to link employees to existing entitlements, enabling accurate reclamation without a separate join table.</w:t>
      </w:r>
    </w:p>
    <w:p>
      <w:pPr>
        <w:spacing w:after="80" w:before="120"/>
      </w:pPr>
    </w:p>
    <w:p>
      <w:pPr>
        <w:pStyle w:val="Heading2"/>
        <w:spacing w:after="120" w:before="240"/>
      </w:pPr>
      <w:r>
        <w:rPr>
          <w:rFonts w:ascii="Arial" w:cs="Arial" w:eastAsia="Arial" w:hAnsi="Arial"/>
          <w:b/>
          <w:bCs/>
          <w:color w:val="3A7CA5"/>
          <w:sz w:val="24"/>
          <w:szCs w:val="24"/>
        </w:rPr>
        <w:t xml:space="preserve">Vendor &amp; Benchmark Data</w:t>
      </w:r>
    </w:p>
    <w:p>
      <w:pPr>
        <w:spacing w:after="80" w:before="80"/>
      </w:pPr>
      <w:r>
        <w:rPr>
          <w:rFonts w:ascii="Arial" w:cs="Arial" w:eastAsia="Arial" w:hAnsi="Arial"/>
          <w:sz w:val="22"/>
          <w:szCs w:val="22"/>
        </w:rPr>
        <w:t xml:space="preserve">Provides the supply-side context. Key fields:</w:t>
      </w:r>
    </w:p>
    <w:p>
      <w:pPr>
        <w:pStyle w:val="ListParagraph"/>
        <w:numPr>
          <w:ilvl w:val="0"/>
          <w:numId w:val="2"/>
        </w:numPr>
        <w:spacing w:after="60" w:before="60"/>
      </w:pPr>
      <w:r>
        <w:rPr>
          <w:rFonts w:ascii="Arial" w:cs="Arial" w:eastAsia="Arial" w:hAnsi="Arial"/>
          <w:b w:val="false"/>
          <w:bCs w:val="false"/>
          <w:sz w:val="22"/>
          <w:szCs w:val="22"/>
        </w:rPr>
        <w:t xml:space="preserve">SKU names and license tier descriptions (rich text — used in semantic matching)</w:t>
      </w:r>
    </w:p>
    <w:p>
      <w:pPr>
        <w:pStyle w:val="ListParagraph"/>
        <w:numPr>
          <w:ilvl w:val="0"/>
          <w:numId w:val="2"/>
        </w:numPr>
        <w:spacing w:after="60" w:before="60"/>
      </w:pPr>
      <w:r>
        <w:rPr>
          <w:rFonts w:ascii="Arial" w:cs="Arial" w:eastAsia="Arial" w:hAnsi="Arial"/>
          <w:b w:val="false"/>
          <w:bCs w:val="false"/>
          <w:sz w:val="22"/>
          <w:szCs w:val="22"/>
        </w:rPr>
        <w:t xml:space="preserve">unit_price_quote, market_avg_price</w:t>
      </w:r>
    </w:p>
    <w:p>
      <w:pPr>
        <w:pStyle w:val="ListParagraph"/>
        <w:numPr>
          <w:ilvl w:val="0"/>
          <w:numId w:val="2"/>
        </w:numPr>
        <w:spacing w:after="60" w:before="60"/>
      </w:pPr>
      <w:r>
        <w:rPr>
          <w:rFonts w:ascii="Arial" w:cs="Arial" w:eastAsia="Arial" w:hAnsi="Arial"/>
          <w:b w:val="false"/>
          <w:bCs w:val="false"/>
          <w:sz w:val="22"/>
          <w:szCs w:val="22"/>
        </w:rPr>
        <w:t xml:space="preserve">competitor_alt — for benchmarking and negotiation leverage</w:t>
      </w:r>
    </w:p>
    <w:p>
      <w:pPr>
        <w:pStyle w:val="ListParagraph"/>
        <w:numPr>
          <w:ilvl w:val="0"/>
          <w:numId w:val="2"/>
        </w:numPr>
        <w:spacing w:after="60" w:before="60"/>
      </w:pPr>
      <w:r>
        <w:rPr>
          <w:rFonts w:ascii="Arial" w:cs="Arial" w:eastAsia="Arial" w:hAnsi="Arial"/>
          <w:b w:val="false"/>
          <w:bCs w:val="false"/>
          <w:sz w:val="22"/>
          <w:szCs w:val="22"/>
        </w:rPr>
        <w:t xml:space="preserve">Volume discount tiers — required for accurate cost modelling on large buys</w:t>
      </w:r>
    </w:p>
    <w:p>
      <w:r>
        <w:t>Negotiation Insight requirement: whenever negotiation delta is shown, explicitly state that proposed pricing already reflects applicable volume-band discounts (for example, include weighted average discount %) so market delta interpretation is transparent.</w:t>
      </w:r>
    </w:p>
    <w:p>
      <w:pPr>
        <w:spacing w:after="80" w:before="80"/>
      </w:pPr>
      <w:r>
        <w:rPr>
          <w:rFonts w:ascii="Arial" w:cs="Arial" w:eastAsia="Arial" w:hAnsi="Arial"/>
          <w:i/>
          <w:iCs/>
          <w:color w:val="666666"/>
          <w:sz w:val="22"/>
          <w:szCs w:val="22"/>
        </w:rPr>
        <w:t xml:space="preserve">Note: Vendor license descriptions sourced from vendor platforms should be normalized prior to ingestion — marketing language can reduce matching reliability.</w:t>
      </w:r>
    </w:p>
    <w:p>
      <w:pPr>
        <w:spacing w:after="80" w:before="120"/>
      </w:pPr>
    </w:p>
    <w:p>
      <w:pPr>
        <w:pStyle w:val="Heading2"/>
        <w:spacing w:after="120" w:before="240"/>
      </w:pPr>
      <w:r>
        <w:rPr>
          <w:rFonts w:ascii="Arial" w:cs="Arial" w:eastAsia="Arial" w:hAnsi="Arial"/>
          <w:b/>
          <w:bCs/>
          <w:color w:val="3A7CA5"/>
          <w:sz w:val="24"/>
          <w:szCs w:val="24"/>
        </w:rPr>
        <w:t xml:space="preserve">Predefined Matching Logic (Semantic Layer)</w:t>
      </w:r>
    </w:p>
    <w:p>
      <w:pPr>
        <w:spacing w:after="80" w:before="80"/>
      </w:pPr>
      <w:r>
        <w:rPr>
          <w:rFonts w:ascii="Arial" w:cs="Arial" w:eastAsia="Arial" w:hAnsi="Arial"/>
          <w:sz w:val="22"/>
          <w:szCs w:val="22"/>
        </w:rPr>
        <w:t xml:space="preserve">Rather than a static lookup table, matching is performed semantically: the agent compares job role descriptions (what this person does) against license capability descriptions (what this license enables), using an LLM-powered matching step.</w:t>
      </w:r>
    </w:p>
    <w:p>
      <w:pPr>
        <w:spacing w:after="80" w:before="80"/>
      </w:pPr>
      <w:r>
        <w:rPr>
          <w:rFonts w:ascii="Arial" w:cs="Arial" w:eastAsia="Arial" w:hAnsi="Arial"/>
          <w:sz w:val="22"/>
          <w:szCs w:val="22"/>
        </w:rPr>
        <w:t xml:space="preserve">This approach handles novel job families and new SKUs dynamically, without requiring manual updates to a translation layer. It also covers edge cases where a role spans multiple license tiers.</w:t>
      </w:r>
    </w:p>
    <w:p>
      <w:pPr>
        <w:spacing w:after="0" w:before="160"/>
      </w:pPr>
    </w:p>
    <w:p>
      <w:pPr>
        <w:pBdr>
          <w:bottom w:val="single" w:color="CCCCCC" w:sz="4" w:space="1"/>
        </w:pBdr>
        <w:spacing w:after="160" w:before="160"/>
      </w:pPr>
    </w:p>
    <w:p>
      <w:pPr>
        <w:pStyle w:val="Heading1"/>
        <w:spacing w:after="160" w:before="320"/>
      </w:pPr>
      <w:r>
        <w:rPr>
          <w:rFonts w:ascii="Arial" w:cs="Arial" w:eastAsia="Arial" w:hAnsi="Arial"/>
          <w:b/>
          <w:bCs/>
          <w:color w:val="2E4057"/>
          <w:sz w:val="28"/>
          <w:szCs w:val="28"/>
        </w:rPr>
        <w:t xml:space="preserve">5. Case 2 Agent 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rPr>
          <w:tblHeader/>
        </w:trPr>
        <w:tc>
          <w:tcPr>
            <w:tcW w:type="dxa" w:w="14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7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 Intent Capture</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User states procurement need via chatbot</w:t>
            </w:r>
          </w:p>
        </w:tc>
        <w:tc>
          <w:tcPr>
            <w:tcW w:type="dxa" w:w="4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Parsed vendor + license intent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Disambiguation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 resolves ambiguous vendor/license names</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vendor + SKU</w:t>
            </w:r>
          </w:p>
        </w:tc>
      </w:tr>
      <w:tr>
        <w:tc>
          <w:tcPr>
            <w:tcW w:type="dxa" w:w="14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 Buffer Check</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Agent checks available seats vs active users</w:t>
            </w:r>
          </w:p>
        </w:tc>
        <w:tc>
          <w:tcPr>
            <w:tcW w:type="dxa" w:w="4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Route decision: reallocate / Case 3 / Case 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Semantic Matching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role descriptions matched to license tier descriptions</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license tier per role</w:t>
            </w:r>
          </w:p>
        </w:tc>
      </w:tr>
      <w:tr>
        <w:tc>
          <w:tcPr>
            <w:tcW w:type="dxa" w:w="14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5. Sourcing Workspace</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Dedicated UI rendered with AI-populated defaults</w:t>
            </w:r>
          </w:p>
        </w:tc>
        <w:tc>
          <w:tcPr>
            <w:tcW w:type="dxa" w:w="4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Interactive demand view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User Refinement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adjusts filters; cost impacts update live</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Finalised demand plan</w:t>
            </w:r>
          </w:p>
        </w:tc>
      </w:tr>
      <w:tr>
        <w:tc>
          <w:tcPr>
            <w:tcW w:type="dxa" w:w="14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7. Procurement Decision</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Approved demand plan passed to procurement workflow</w:t>
            </w:r>
          </w:p>
        </w:tc>
        <w:tc>
          <w:tcPr>
            <w:tcW w:type="dxa" w:w="4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Purchase order or RFQ initiated</w:t>
            </w:r>
          </w:p>
        </w:tc>
      </w:tr>
    </w:tbl>
    <w:p>
      <w:pPr>
        <w:spacing w:after="0" w:before="160"/>
      </w:pPr>
    </w:p>
    <w:p>
      <w:pPr>
        <w:pBdr>
          <w:bottom w:val="single" w:color="CCCCCC" w:sz="4" w:space="1"/>
        </w:pBdr>
        <w:spacing w:after="160" w:before="160"/>
      </w:pPr>
    </w:p>
    <w:p>
      <w:pPr>
        <w:pStyle w:val="Heading1"/>
        <w:spacing w:after="160" w:before="320"/>
      </w:pPr>
      <w:r>
        <w:rPr>
          <w:rFonts w:ascii="Arial" w:cs="Arial" w:eastAsia="Arial" w:hAnsi="Arial"/>
          <w:b/>
          <w:bCs/>
          <w:color w:val="2E4057"/>
          <w:sz w:val="28"/>
          <w:szCs w:val="28"/>
        </w:rPr>
        <w:t xml:space="preserve">6. Sourcing Workspace UI</w:t>
      </w:r>
    </w:p>
    <w:p>
      <w:pPr>
        <w:spacing w:after="80" w:before="80"/>
      </w:pPr>
      <w:r>
        <w:rPr>
          <w:rFonts w:ascii="Arial" w:cs="Arial" w:eastAsia="Arial" w:hAnsi="Arial"/>
          <w:sz w:val="22"/>
          <w:szCs w:val="22"/>
        </w:rPr>
        <w:t xml:space="preserve">To avoid chat clutter, Case 2 logic is rendered in a dedicated Sourcing Workspace — a dynamic overlay or redirect triggered after the buffer check confirms a new procurement is required.</w:t>
      </w:r>
    </w:p>
    <w:p>
      <w:pPr>
        <w:spacing w:after="80" w:before="120"/>
      </w:pPr>
    </w:p>
    <w:p>
      <w:pPr>
        <w:pStyle w:val="Heading2"/>
        <w:spacing w:after="120" w:before="240"/>
      </w:pPr>
      <w:r>
        <w:rPr>
          <w:rFonts w:ascii="Arial" w:cs="Arial" w:eastAsia="Arial" w:hAnsi="Arial"/>
          <w:b/>
          <w:bCs/>
          <w:color w:val="3A7CA5"/>
          <w:sz w:val="24"/>
          <w:szCs w:val="24"/>
        </w:rPr>
        <w:t xml:space="preserve">Agent-Driven Defaults</w:t>
      </w:r>
    </w:p>
    <w:p>
      <w:pPr>
        <w:pStyle w:val="ListParagraph"/>
        <w:numPr>
          <w:ilvl w:val="0"/>
          <w:numId w:val="2"/>
        </w:numPr>
        <w:spacing w:after="60" w:before="60"/>
      </w:pPr>
      <w:r>
        <w:rPr>
          <w:rFonts w:ascii="Arial" w:cs="Arial" w:eastAsia="Arial" w:hAnsi="Arial"/>
          <w:b w:val="false"/>
          <w:bCs w:val="false"/>
          <w:sz w:val="22"/>
          <w:szCs w:val="22"/>
        </w:rPr>
        <w:t xml:space="preserve">AI pre-populates demand data based on semantic job family matching</w:t>
      </w:r>
    </w:p>
    <w:p>
      <w:pPr>
        <w:pStyle w:val="ListParagraph"/>
        <w:numPr>
          <w:ilvl w:val="0"/>
          <w:numId w:val="2"/>
        </w:numPr>
        <w:spacing w:after="60" w:before="60"/>
      </w:pPr>
      <w:r>
        <w:rPr>
          <w:rFonts w:ascii="Arial" w:cs="Arial" w:eastAsia="Arial" w:hAnsi="Arial"/>
          <w:b w:val="false"/>
          <w:bCs w:val="false"/>
          <w:sz w:val="22"/>
          <w:szCs w:val="22"/>
        </w:rPr>
        <w:t xml:space="preserve">Cost center is used as the primary key for all finance-facing views</w:t>
      </w:r>
    </w:p>
    <w:p>
      <w:pPr>
        <w:spacing w:after="80" w:before="120"/>
      </w:pPr>
    </w:p>
    <w:p>
      <w:pPr>
        <w:pStyle w:val="Heading2"/>
        <w:spacing w:after="120" w:before="240"/>
      </w:pPr>
      <w:r>
        <w:rPr>
          <w:rFonts w:ascii="Arial" w:cs="Arial" w:eastAsia="Arial" w:hAnsi="Arial"/>
          <w:b/>
          <w:bCs/>
          <w:color w:val="3A7CA5"/>
          <w:sz w:val="24"/>
          <w:szCs w:val="24"/>
        </w:rPr>
        <w:t xml:space="preserve">Interactive Templates</w:t>
      </w:r>
    </w:p>
    <w:p>
      <w:pPr>
        <w:pStyle w:val="ListParagraph"/>
        <w:numPr>
          <w:ilvl w:val="0"/>
          <w:numId w:val="2"/>
        </w:numPr>
        <w:spacing w:after="60" w:before="60"/>
      </w:pPr>
      <w:r>
        <w:rPr>
          <w:rFonts w:ascii="Arial" w:cs="Arial" w:eastAsia="Arial" w:hAnsi="Arial"/>
          <w:b w:val="false"/>
          <w:bCs w:val="false"/>
          <w:sz w:val="22"/>
          <w:szCs w:val="22"/>
        </w:rPr>
        <w:t xml:space="preserve">Bar charts — license demand by department or role</w:t>
      </w:r>
    </w:p>
    <w:p>
      <w:pPr>
        <w:pStyle w:val="ListParagraph"/>
        <w:numPr>
          <w:ilvl w:val="0"/>
          <w:numId w:val="2"/>
        </w:numPr>
        <w:spacing w:after="60" w:before="60"/>
      </w:pPr>
      <w:r>
        <w:rPr>
          <w:rFonts w:ascii="Arial" w:cs="Arial" w:eastAsia="Arial" w:hAnsi="Arial"/>
          <w:b w:val="false"/>
          <w:bCs w:val="false"/>
          <w:sz w:val="22"/>
          <w:szCs w:val="22"/>
        </w:rPr>
        <w:t xml:space="preserve">Line charts — projected demand over time (forecasting view)</w:t>
      </w:r>
    </w:p>
    <w:p>
      <w:pPr>
        <w:pStyle w:val="ListParagraph"/>
        <w:numPr>
          <w:ilvl w:val="0"/>
          <w:numId w:val="2"/>
        </w:numPr>
        <w:spacing w:after="60" w:before="60"/>
      </w:pPr>
      <w:r>
        <w:rPr>
          <w:rFonts w:ascii="Arial" w:cs="Arial" w:eastAsia="Arial" w:hAnsi="Arial"/>
          <w:b w:val="false"/>
          <w:bCs w:val="false"/>
          <w:sz w:val="22"/>
          <w:szCs w:val="22"/>
        </w:rPr>
        <w:t xml:space="preserve">Donut charts — budget allocation and utilisation</w:t>
      </w:r>
    </w:p>
    <w:p>
      <w:pPr>
        <w:spacing w:after="80" w:before="120"/>
      </w:pPr>
    </w:p>
    <w:p>
      <w:pPr>
        <w:pStyle w:val="Heading2"/>
        <w:spacing w:after="120" w:before="240"/>
      </w:pPr>
      <w:r>
        <w:rPr>
          <w:rFonts w:ascii="Arial" w:cs="Arial" w:eastAsia="Arial" w:hAnsi="Arial"/>
          <w:b/>
          <w:bCs/>
          <w:color w:val="3A7CA5"/>
          <w:sz w:val="24"/>
          <w:szCs w:val="24"/>
        </w:rPr>
        <w:t xml:space="preserve">User Controls</w:t>
      </w:r>
    </w:p>
    <w:p>
      <w:pPr>
        <w:pStyle w:val="ListParagraph"/>
        <w:numPr>
          <w:ilvl w:val="0"/>
          <w:numId w:val="2"/>
        </w:numPr>
        <w:spacing w:after="60" w:before="60"/>
      </w:pPr>
      <w:r>
        <w:rPr>
          <w:rFonts w:ascii="Arial" w:cs="Arial" w:eastAsia="Arial" w:hAnsi="Arial"/>
          <w:b w:val="false"/>
          <w:bCs w:val="false"/>
          <w:sz w:val="22"/>
          <w:szCs w:val="22"/>
        </w:rPr>
        <w:t xml:space="preserve">Live filters by department and job level with immediate cost impact updates</w:t>
      </w:r>
    </w:p>
    <w:p>
      <w:pPr>
        <w:pStyle w:val="ListParagraph"/>
        <w:numPr>
          <w:ilvl w:val="0"/>
          <w:numId w:val="2"/>
        </w:numPr>
        <w:spacing w:after="60" w:before="60"/>
      </w:pPr>
      <w:r>
        <w:rPr>
          <w:rFonts w:ascii="Arial" w:cs="Arial" w:eastAsia="Arial" w:hAnsi="Arial"/>
          <w:b w:val="false"/>
          <w:bCs w:val="false"/>
          <w:sz w:val="22"/>
          <w:szCs w:val="22"/>
        </w:rPr>
        <w:t xml:space="preserve">Manual override capability for outlier users who fall outside standard job family matching rules</w:t>
      </w:r>
    </w:p>
    <w:p>
      <w:pPr>
        <w:spacing w:after="0" w:before="160"/>
      </w:pPr>
    </w:p>
    <w:p>
      <w:pPr>
        <w:pBdr>
          <w:bottom w:val="single" w:color="CCCCCC" w:sz="4" w:space="1"/>
        </w:pBdr>
        <w:spacing w:after="160" w:before="160"/>
      </w:pPr>
    </w:p>
    <w:p>
      <w:pPr>
        <w:pStyle w:val="Heading1"/>
        <w:spacing w:after="160" w:before="320"/>
      </w:pPr>
      <w:r>
        <w:rPr>
          <w:rFonts w:ascii="Arial" w:cs="Arial" w:eastAsia="Arial" w:hAnsi="Arial"/>
          <w:b/>
          <w:bCs/>
          <w:color w:val="2E4057"/>
          <w:sz w:val="28"/>
          <w:szCs w:val="28"/>
        </w:rPr>
        <w:t xml:space="preserve">7. Mitigations &amp; MVP Boundaries</w:t>
      </w:r>
    </w:p>
    <w:p>
      <w:pPr>
        <w:spacing w:after="80" w:before="80"/>
      </w:pPr>
      <w:r>
        <w:rPr>
          <w:rFonts w:ascii="Arial" w:cs="Arial" w:eastAsia="Arial" w:hAnsi="Arial"/>
          <w:sz w:val="22"/>
          <w:szCs w:val="22"/>
        </w:rPr>
        <w:t xml:space="preserve">The following design decisions keep the MVP scope contained while preserving robustness: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Risk / Gap</w:t>
            </w:r>
          </w:p>
        </w:tc>
        <w:tc>
          <w:tcPr>
            <w:tcW w:type="dxa" w:w="5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Ambiguous vendor or SKU names</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Disambiguation gate at chatbot layer before routing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 that don’t fit standard job family matching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override UI in Sourcing Workspace</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Borderline semantic match confidence</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Phase 2 — confidence thresholds and human review flags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loop from Case 2 back to DPE demand baseline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post-MVP integration with Demand Planning Engine</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Auditability of matching decisions</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Phase 2 — match rationale surfaced to finance and compliance teams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or marketing-heavy vendor descriptions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dependency — normalization step before RAG ingestion</w:t>
            </w:r>
          </w:p>
        </w:tc>
      </w:tr>
    </w:tbl>
    <w:p>
      <w:pPr>
        <w:spacing w:after="0" w:before="160"/>
      </w:pPr>
    </w:p>
    <w:p>
      <w:pPr>
        <w:pBdr>
          <w:bottom w:val="single" w:color="CCCCCC" w:sz="4" w:space="1"/>
        </w:pBdr>
        <w:spacing w:after="160" w:before="160"/>
      </w:pPr>
    </w:p>
    <w:p>
      <w:pPr>
        <w:pStyle w:val="Heading1"/>
        <w:spacing w:after="160" w:before="320"/>
      </w:pPr>
      <w:r>
        <w:rPr>
          <w:rFonts w:ascii="Arial" w:cs="Arial" w:eastAsia="Arial" w:hAnsi="Arial"/>
          <w:b/>
          <w:bCs/>
          <w:color w:val="2E4057"/>
          <w:sz w:val="28"/>
          <w:szCs w:val="28"/>
        </w:rPr>
        <w:t xml:space="preserve">8. RAG Build Status</w:t>
      </w:r>
    </w:p>
    <w:p>
      <w:pPr>
        <w:spacing w:after="80" w:before="80"/>
      </w:pPr>
      <w:r>
        <w:rPr>
          <w:rFonts w:ascii="Arial" w:cs="Arial" w:eastAsia="Arial" w:hAnsi="Arial"/>
          <w:sz w:val="22"/>
          <w:szCs w:val="22"/>
        </w:rPr>
        <w:t xml:space="preserve">The following summarises the current state of data preparation for the Case 2 agent:</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HR Data</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Generated</w:t>
            </w:r>
          </w:p>
        </w:tc>
        <w:tc>
          <w:tcPr>
            <w:tcW w:type="dxa" w:w="5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employee_id, pillar_dept, job_role, job_level, is_active, hire_date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Matching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role descriptions + license capability descriptions from vendor platforms</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Vendor &amp; Benchmark Data</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Planned</w:t>
            </w:r>
          </w:p>
        </w:tc>
        <w:tc>
          <w:tcPr>
            <w:tcW w:type="dxa" w:w="5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SKU data, pricing tiers, competitor alternatives, volume discounts</w:t>
            </w:r>
          </w:p>
        </w:tc>
      </w:tr>
    </w:tbl>
    <w:p>
      <w:pPr>
        <w:spacing w:after="80" w:before="240"/>
      </w:pPr>
    </w:p>
    <w:p>
      <w:pPr>
        <w:jc w:val="center"/>
      </w:pPr>
      <w:r>
        <w:rPr>
          <w:rFonts w:ascii="Arial" w:cs="Arial" w:eastAsia="Arial" w:hAnsi="Arial"/>
          <w:i/>
          <w:iCs/>
          <w:color w:val="AAAAAA"/>
          <w:sz w:val="18"/>
          <w:szCs w:val="18"/>
        </w:rPr>
        <w:t xml:space="preserve">Confidential  ·  Internal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A7C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2026-04-23T16:47:09.993Z</dcterms:created>
  <dcterms:modified xsi:type="dcterms:W3CDTF">2026-04-23T16:47:09.994Z</dcterms:modified>
</cp:coreProperties>
</file>

<file path=docProps/custom.xml><?xml version="1.0" encoding="utf-8"?>
<Properties xmlns="http://schemas.openxmlformats.org/officeDocument/2006/custom-properties" xmlns:vt="http://schemas.openxmlformats.org/officeDocument/2006/docPropsVTypes"/>
</file>