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VendorFlow AI — Contract Renewal Summary</w:t>
      </w:r>
    </w:p>
    <w:p>
      <w:pPr>
        <w:pStyle w:val="Heading1"/>
      </w:pPr>
      <w:r>
        <w:t>Contract: C-1064  |  Vendor: Veloxa</w:t>
      </w:r>
    </w:p>
    <w:p>
      <w:r>
        <w:t>Generated     : 2026-05-22 06:01 UTC</w:t>
      </w:r>
    </w:p>
    <w:p>
      <w:r>
        <w:t>Stage         : Approval</w:t>
      </w:r>
    </w:p>
    <w:p>
      <w:r>
        <w:t>Days Remaining: 180</w:t>
      </w:r>
    </w:p>
    <w:p>
      <w:pPr>
        <w:pStyle w:val="Heading2"/>
      </w:pPr>
      <w:r>
        <w:t>Utilization</w:t>
      </w:r>
    </w:p>
    <w:p>
      <w:r>
        <w:t>Active Users : 1815 / 2457</w:t>
        <w:br/>
        <w:t>Avg Util %   : 72.9%</w:t>
      </w:r>
    </w:p>
    <w:p>
      <w:pPr>
        <w:pStyle w:val="Heading2"/>
      </w:pPr>
      <w:r>
        <w:t>Budget</w:t>
      </w:r>
    </w:p>
    <w:p>
      <w:r>
        <w:t>Annual Budget: $2,538.00</w:t>
        <w:br/>
        <w:t>Actual Spend : $1,968.00</w:t>
        <w:br/>
        <w:t>Status       : Healthy</w:t>
      </w:r>
    </w:p>
    <w:p>
      <w:pPr>
        <w:pStyle w:val="Heading2"/>
      </w:pPr>
      <w:r>
        <w:t>Sentiment</w:t>
      </w:r>
    </w:p>
    <w:p>
      <w:r>
        <w:t>Score : 85/100</w:t>
        <w:br/>
        <w:t>Label : Healthy</w:t>
        <w:br/>
        <w:t>Flags : Good utilization — within healthy range; Spend well within budget; Utilization improved +7.9% vs prior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