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C7F40" w14:textId="77777777" w:rsidR="00E65F7C" w:rsidRPr="00E65F7C" w:rsidRDefault="00E65F7C" w:rsidP="00E65F7C">
      <w:r w:rsidRPr="00E65F7C">
        <w:t>[HR-GOV-1.1]</w:t>
      </w:r>
    </w:p>
    <w:p w14:paraId="025AA0FB" w14:textId="77777777" w:rsidR="00E65F7C" w:rsidRPr="00E65F7C" w:rsidRDefault="00E65F7C" w:rsidP="00E65F7C">
      <w:pPr>
        <w:rPr>
          <w:b/>
          <w:bCs/>
        </w:rPr>
      </w:pPr>
      <w:r w:rsidRPr="00E65F7C">
        <w:rPr>
          <w:b/>
          <w:bCs/>
        </w:rPr>
        <w:t>Section 1: Strategic Workforce Resilience and Leave Authorization</w:t>
      </w:r>
    </w:p>
    <w:p w14:paraId="69DE71C8" w14:textId="77777777" w:rsidR="00E65F7C" w:rsidRPr="00E65F7C" w:rsidRDefault="00E65F7C" w:rsidP="00E65F7C">
      <w:r w:rsidRPr="00E65F7C">
        <w:t>The purpose of this operational directive is to establish a rigorous framework for managing planned workforce absences, formally designated within the enterprise architecture as Voluntary Terminal Downtime (VTD). To maintain systemic operational stability and prevent critical resource depletion across core business units, any personnel seeking to initiate a period of VTD must strictly adhere to the designated advance submission timeline, which requires a minimum of twenty business days' notification prior to the projected date of departure. This window ensures that department heads can adequately assess localized human capital reserves and cross-reference requests against the current leave allocation balance of the individual applicant. All submittals undergo a mandatory forty-eight-hour manager approval window, during which leadership evaluates localized capacity to guarantee that core deliverables remain unaffected. Furthermore, to mitigate downstream dependency risks during the resource's absence, an exhaustive delegation of duties checklist must be finalized and appended to the internal human resource information system (HRIS) portal before authorization is formally ratified.</w:t>
      </w:r>
    </w:p>
    <w:p w14:paraId="15BFF322" w14:textId="77777777" w:rsidR="00E65F7C" w:rsidRPr="00E65F7C" w:rsidRDefault="00E65F7C" w:rsidP="00E65F7C">
      <w:pPr>
        <w:rPr>
          <w:b/>
          <w:bCs/>
        </w:rPr>
      </w:pPr>
      <w:r w:rsidRPr="00E65F7C">
        <w:rPr>
          <w:b/>
          <w:bCs/>
        </w:rPr>
        <w:t>Section 2: Operational Coverage Standards and Accrual Mechanics</w:t>
      </w:r>
    </w:p>
    <w:p w14:paraId="7FDF11ED" w14:textId="77777777" w:rsidR="00E65F7C" w:rsidRPr="00E65F7C" w:rsidRDefault="00E65F7C" w:rsidP="00E65F7C">
      <w:r w:rsidRPr="00E65F7C">
        <w:t>To ensure continuous delivery across client-facing workstreams, the maintenance of rigorous operational coverage is paramount; consequently, no more than fifteen percent of a single department's localized workforce may be authorized for concurrent VTD at any given juncture. The enterprise utilizes an automated, high-fidelity scheduling matrix that evaluates real-time capacity against projected project milestones before approving any temporary exit from the production ecosystem. Personnel are reminded that the generation of eligible time-off blocks relies entirely on the organization's standardized accrual tracking mechanism, which calculates fractional credits on a bi-weekly cadence based on active billable hours and tenure milestones. If a resource requests an allocation that exceeds their currently registered leave allocation balance, the internal compliance engine will automatically trigger an administrative hold, requiring a secondary review by the regional human resources director.</w:t>
      </w:r>
    </w:p>
    <w:p w14:paraId="2BBFA23E" w14:textId="77777777" w:rsidR="00E65F7C" w:rsidRPr="00E65F7C" w:rsidRDefault="00E65F7C" w:rsidP="00E65F7C">
      <w:pPr>
        <w:rPr>
          <w:b/>
          <w:bCs/>
        </w:rPr>
      </w:pPr>
      <w:r w:rsidRPr="00E65F7C">
        <w:rPr>
          <w:b/>
          <w:bCs/>
        </w:rPr>
        <w:t>Section 3: Mitigation of Dependency Bottlenecks and Post-Downtime Re-integration</w:t>
      </w:r>
    </w:p>
    <w:p w14:paraId="71BFE2C9" w14:textId="77777777" w:rsidR="00E65F7C" w:rsidRPr="00E65F7C" w:rsidRDefault="00E65F7C" w:rsidP="00E65F7C">
      <w:r w:rsidRPr="00E65F7C">
        <w:t xml:space="preserve">The final phase of securing personnel continuity involves the comprehensive execution of the delegation of duties checklist, a mandatory protocol designed to transition temporary ownership of critical workflows, cryptographic keys, and sign-off authorities to a designated proxy. This secondary resource assumes full administrative accountability for the duration of the principal's Voluntary Terminal Downtime, thereby neutralizing potential </w:t>
      </w:r>
      <w:r w:rsidRPr="00E65F7C">
        <w:lastRenderedPageBreak/>
        <w:t>operational bottlenecks. Upon the conclusion of the approved VTD window, the returning personnel must undergo a structured re-integration briefing within the initial four hours of their return shift to reconcile any system updates, strategic changes, or procedural adjustments executed during their absence. Failure to systematically log these transitions within the central auditing repository will result in an immediate suspension of future scheduling privileges and a formal review of the individual’s compliance standing.</w:t>
      </w:r>
    </w:p>
    <w:p w14:paraId="79B45328" w14:textId="77777777" w:rsidR="003C4195" w:rsidRDefault="003C4195"/>
    <w:p w14:paraId="2604DD88" w14:textId="77777777" w:rsidR="00F05DFF" w:rsidRDefault="00F05DFF"/>
    <w:p w14:paraId="07C33560" w14:textId="77777777" w:rsidR="00F05DFF" w:rsidRPr="00F05DFF" w:rsidRDefault="00F05DFF" w:rsidP="00F05DFF">
      <w:r w:rsidRPr="00F05DFF">
        <w:t>[MED-FRAME-2.4]</w:t>
      </w:r>
    </w:p>
    <w:p w14:paraId="66E356F9" w14:textId="77777777" w:rsidR="00F05DFF" w:rsidRPr="00F05DFF" w:rsidRDefault="00F05DFF" w:rsidP="00F05DFF">
      <w:pPr>
        <w:rPr>
          <w:b/>
          <w:bCs/>
        </w:rPr>
      </w:pPr>
      <w:r w:rsidRPr="00F05DFF">
        <w:rPr>
          <w:b/>
          <w:bCs/>
        </w:rPr>
        <w:t>Subsection A: Immediate Incident Logging and Absence Escalation</w:t>
      </w:r>
    </w:p>
    <w:p w14:paraId="3A8C8A04" w14:textId="77777777" w:rsidR="00F05DFF" w:rsidRPr="00F05DFF" w:rsidRDefault="00F05DFF" w:rsidP="00F05DFF">
      <w:r w:rsidRPr="00F05DFF">
        <w:t>Whenever an employee experiences an unexpected physiological or psychological health disruption that prevents them from executing their assigned tasks, the event is formally categorized within the corporate health grid as an Acute Medical Incapacitation (AMI). In order to mitigate the immediate impacts of unplanned absenteeism on live production environments, the affected individual—or an authorized proxy, if the individual is physically unable—must log the incident prior to the strict 07:30 AM morning call-in deadline. This initial report must be routed directly through the centralized workforce management application, which concurrently populates the local supervisor notification log to alert shift commanders of the imminent resource deficit. Upon receipt of an AMI alert, management is mandated to reallocate urgent tasks immediately, ensuring that no critical operational dependencies are left unattended due to the sudden health-related variance.</w:t>
      </w:r>
    </w:p>
    <w:p w14:paraId="3C978316" w14:textId="77777777" w:rsidR="00F05DFF" w:rsidRPr="00F05DFF" w:rsidRDefault="00F05DFF" w:rsidP="00F05DFF">
      <w:pPr>
        <w:rPr>
          <w:b/>
          <w:bCs/>
        </w:rPr>
      </w:pPr>
      <w:r w:rsidRPr="00F05DFF">
        <w:rPr>
          <w:b/>
          <w:bCs/>
        </w:rPr>
        <w:t>Subsection B: Document Substantiation and Compliance Verification</w:t>
      </w:r>
    </w:p>
    <w:p w14:paraId="1B8CAF59" w14:textId="77777777" w:rsidR="00F05DFF" w:rsidRPr="00F05DFF" w:rsidRDefault="00F05DFF" w:rsidP="00F05DFF">
      <w:r w:rsidRPr="00F05DFF">
        <w:t>To formalize the absence and transition the instance from a pending alert to an audited corporate record, the employee must initiate the medical certificate validation process within forty-eight hours of the initial call-in. This administrative requirement is fulfilled exclusively through the submission of Form-Delta-9, which must be completed, signed, and stamped by a licensed, board-certified healthcare practitioner. Form-Delta-9 serves as the official evidentiary nexus, detailing the mandated recovery window and verifying that the severity of the condition legitimately conforms to the operational definition of an Acute Medical Incapacitation. Failure to upload this completed documentation into the secure occupational health portal within the stipulated timeframe will result in the automated reclassification of the absence as unauthorized, thereby suspending standard payroll disbursements for those specific non-productive hours.</w:t>
      </w:r>
    </w:p>
    <w:p w14:paraId="7F2FA053" w14:textId="77777777" w:rsidR="00F05DFF" w:rsidRPr="00F05DFF" w:rsidRDefault="00F05DFF" w:rsidP="00F05DFF">
      <w:pPr>
        <w:rPr>
          <w:b/>
          <w:bCs/>
        </w:rPr>
      </w:pPr>
      <w:r w:rsidRPr="00F05DFF">
        <w:rPr>
          <w:b/>
          <w:bCs/>
        </w:rPr>
        <w:t>Subsection C: Extended Absence Management and Re-entry Protocols</w:t>
      </w:r>
    </w:p>
    <w:p w14:paraId="61269CCB" w14:textId="77777777" w:rsidR="00F05DFF" w:rsidRPr="00F05DFF" w:rsidRDefault="00F05DFF" w:rsidP="00F05DFF">
      <w:r w:rsidRPr="00F05DFF">
        <w:lastRenderedPageBreak/>
        <w:t>In instances where the duration of the documented AMI extends beyond seven consecutive calendar days, the internal enterprise compliance engine will automatically execute a short-term disability trigger. This mechanism shifts the administrative oversight from localized management to the corporate benefits and risk mitigation team, who will then oversee the extended compensation structure and continuous medical review files. Prior to being granted security clearance to access any corporate infrastructure or resume active project workflows, the returning resource must successfully complete a comprehensive fitness-for-duty assessment. This mandatory evaluation is conducted by an independent industrial health physician to confirm that the individual possesses the cognitive and physical capacities required for their specific role, thereby ensuring a safe and legally compliant return to the workplace.</w:t>
      </w:r>
    </w:p>
    <w:p w14:paraId="33BDD1EC" w14:textId="77777777" w:rsidR="00F05DFF" w:rsidRDefault="00F05DFF"/>
    <w:p w14:paraId="6CFB218B" w14:textId="77777777" w:rsidR="00E87963" w:rsidRPr="00E87963" w:rsidRDefault="00E87963" w:rsidP="00E87963">
      <w:r w:rsidRPr="00E87963">
        <w:t>[ENG-CTRL-3.1]</w:t>
      </w:r>
    </w:p>
    <w:p w14:paraId="7942C27C" w14:textId="77777777" w:rsidR="00E87963" w:rsidRPr="00E87963" w:rsidRDefault="00E87963" w:rsidP="00E87963">
      <w:pPr>
        <w:rPr>
          <w:b/>
          <w:bCs/>
        </w:rPr>
      </w:pPr>
      <w:r w:rsidRPr="00E87963">
        <w:rPr>
          <w:b/>
          <w:bCs/>
        </w:rPr>
        <w:t>Section 3.1.1: Immediate Critical Infrastructure Remediation Mechanics</w:t>
      </w:r>
    </w:p>
    <w:p w14:paraId="112C0BF5" w14:textId="77777777" w:rsidR="00E87963" w:rsidRPr="00E87963" w:rsidRDefault="00E87963" w:rsidP="00E87963">
      <w:r w:rsidRPr="00E87963">
        <w:t>In the event of a catastrophic system degradation or severe security anomaly within live environments, engineering teams are authorized to bypass standard release cycles by initiating the Rapid Patchwork Protocol (RPP). This emergency mechanism is reserved exclusively for a P1 incident escalation, where active service disruption threatens data integrity or core business continuity. Once an RPP event is declared by the incident commander, standard code review cycles are compressed, and developers must immediately isolate the source of failure within a sandboxed code compilation environment. The engineering team is required to construct a highly localized hotfix targeted directly at the root cause, ensuring that no peripheral features or experimental branches are bundled into this expedited remediation artifact.</w:t>
      </w:r>
    </w:p>
    <w:p w14:paraId="61D361AF" w14:textId="77777777" w:rsidR="00E87963" w:rsidRPr="00E87963" w:rsidRDefault="00E87963" w:rsidP="00E87963">
      <w:pPr>
        <w:rPr>
          <w:b/>
          <w:bCs/>
        </w:rPr>
      </w:pPr>
      <w:r w:rsidRPr="00E87963">
        <w:rPr>
          <w:b/>
          <w:bCs/>
        </w:rPr>
        <w:t>Section 3.1.2: Validation and Pipeline Injection Safeguards</w:t>
      </w:r>
    </w:p>
    <w:p w14:paraId="055772CF" w14:textId="77777777" w:rsidR="00E87963" w:rsidRPr="00E87963" w:rsidRDefault="00E87963" w:rsidP="00E87963">
      <w:r w:rsidRPr="00E87963">
        <w:t>Every deployment generated under the Rapid Patchwork Protocol must pass through an abbreviated, high-velocity validation sequence prior to live execution. Although standard manual quality assurance is waived during an emergency, the hotfix must be subjected to an automated regression testing suite that evaluates the patch against a critical baseline of core system behaviors. If the compilation fails to pass one hundred percent of these automated integrity gates, the production deployment pipeline will automatically lock, preventing the corrupted payload from reaching active nodes. Furthermore, all configurations altered during the RPP sequence must be uniquely tagged within the version control log, enabling full visibility and traceability for security auditors who monitor high-risk system mutations.</w:t>
      </w:r>
    </w:p>
    <w:p w14:paraId="06DC28D3" w14:textId="77777777" w:rsidR="00E87963" w:rsidRPr="00E87963" w:rsidRDefault="00E87963" w:rsidP="00E87963">
      <w:pPr>
        <w:rPr>
          <w:b/>
          <w:bCs/>
        </w:rPr>
      </w:pPr>
      <w:r w:rsidRPr="00E87963">
        <w:rPr>
          <w:b/>
          <w:bCs/>
        </w:rPr>
        <w:lastRenderedPageBreak/>
        <w:t>Section 3.1.3: Stabilization, Rollback Capabilities, and Forensic Auditing</w:t>
      </w:r>
    </w:p>
    <w:p w14:paraId="4716CDEA" w14:textId="77777777" w:rsidR="00E87963" w:rsidRPr="00E87963" w:rsidRDefault="00E87963" w:rsidP="00E87963">
      <w:r w:rsidRPr="00E87963">
        <w:t>To protect the ecosystem against unforeseen downstream regressions caused by an emergency fix, the deployment framework maintains an active, single-click rollback mechanism capable of reverting the infrastructure to its last known stable state within sixty seconds. Once the RPP deployment is successful and live metrics indicate that systemic equilibrium has been restored, the infrastructure enters a seventy-two-hour hyper-vigilant observation phase. Following stabilization, the engineering leadership must convene a mandatory post-mortem review within twenty-four hours to analyze the systemic vulnerabilities that necessitated the emergency intervention. The findings of this session, including the root-cause analysis and permanent code rectification strategies, must be compiled and distributed to the technology risk committee to prevent future occurrences of the precipitating incident.</w:t>
      </w:r>
    </w:p>
    <w:p w14:paraId="3363F19E" w14:textId="77777777" w:rsidR="00E87963" w:rsidRDefault="00E87963"/>
    <w:p w14:paraId="20578C4E" w14:textId="77777777" w:rsidR="00B16740" w:rsidRPr="00B16740" w:rsidRDefault="00B16740" w:rsidP="00B16740">
      <w:r w:rsidRPr="00B16740">
        <w:t>[GOV-LIFE-4.2]</w:t>
      </w:r>
    </w:p>
    <w:p w14:paraId="59AE61C1" w14:textId="77777777" w:rsidR="00B16740" w:rsidRPr="00B16740" w:rsidRDefault="00B16740" w:rsidP="00B16740">
      <w:pPr>
        <w:rPr>
          <w:b/>
          <w:bCs/>
        </w:rPr>
      </w:pPr>
      <w:r w:rsidRPr="00B16740">
        <w:rPr>
          <w:b/>
          <w:bCs/>
        </w:rPr>
        <w:t>Paragraph I: Systematic Data Lifecycle Architecture and Purging Protocols</w:t>
      </w:r>
    </w:p>
    <w:p w14:paraId="11E905A7" w14:textId="77777777" w:rsidR="00B16740" w:rsidRPr="00B16740" w:rsidRDefault="00B16740" w:rsidP="00B16740">
      <w:r w:rsidRPr="00B16740">
        <w:t>The management of enterprise information assets requires strict adherence to the Information Obsolescence Cadence (IOC), a structured chronological framework dictating when old production logs, user metrics, and transaction histories must be permanently scrubbed from active clusters. This systemic purge is driven by data pruning schedules that align corporate asset retention with evolving international privacy mandates and storage optimization directives. Under the IOC framework, non-essential operational logs are automatically flagged for telemetry record disposal exactly ninety days after their initial generation, ensuring that redundant information does not bloat active database environments or expose the firm to unnecessary data liabilities. Any data segment transitioning through this cadence must be completely isolated from live query channels to prevent accidental referencing by downstream business intelligence applications.</w:t>
      </w:r>
    </w:p>
    <w:p w14:paraId="338A97A8" w14:textId="77777777" w:rsidR="00B16740" w:rsidRPr="00B16740" w:rsidRDefault="00B16740" w:rsidP="00B16740">
      <w:pPr>
        <w:rPr>
          <w:b/>
          <w:bCs/>
        </w:rPr>
      </w:pPr>
      <w:r w:rsidRPr="00B16740">
        <w:rPr>
          <w:b/>
          <w:bCs/>
        </w:rPr>
        <w:t>Paragraph II: Regulatory Exceptions and Legal Preservation Holds</w:t>
      </w:r>
    </w:p>
    <w:p w14:paraId="66E8E684" w14:textId="77777777" w:rsidR="00B16740" w:rsidRPr="00B16740" w:rsidRDefault="00B16740" w:rsidP="00B16740">
      <w:r w:rsidRPr="00B16740">
        <w:t xml:space="preserve">Notwithstanding the automated execution of the Information Obsolescence Cadence, certain data classifications must be exempted from standard deletion routines to satisfy external regulatory benchmarks. When an active investigation or litigation process is initialized, corporate counsel will issue an overriding statutory legal hold, which immediately freezes the targeted assets within the database schema. This action effectively halts the scheduled IOC sequence for those specific tables, forcing the relevant records to be mirrored and safely migrated into long-term regulatory archival storage. These archived repositories maintain strict read-only access controls, ensuring that </w:t>
      </w:r>
      <w:r w:rsidRPr="00B16740">
        <w:lastRenderedPageBreak/>
        <w:t>financial ledger items, compliance certifications, and executive communications are preserved in an unalterable state until the legal mandate is formally rescinded by the general counsel's office.</w:t>
      </w:r>
    </w:p>
    <w:p w14:paraId="0FE031AB" w14:textId="77777777" w:rsidR="00B16740" w:rsidRPr="00B16740" w:rsidRDefault="00B16740" w:rsidP="00B16740">
      <w:pPr>
        <w:rPr>
          <w:b/>
          <w:bCs/>
        </w:rPr>
      </w:pPr>
      <w:r w:rsidRPr="00B16740">
        <w:rPr>
          <w:b/>
          <w:bCs/>
        </w:rPr>
        <w:t>Paragraph III: Erase Verification and Immutable Compliance Auditing</w:t>
      </w:r>
    </w:p>
    <w:p w14:paraId="26DE2D30" w14:textId="77777777" w:rsidR="00B16740" w:rsidRPr="00B16740" w:rsidRDefault="00B16740" w:rsidP="00B16740">
      <w:r w:rsidRPr="00B16740">
        <w:t>The final phase of the Information Obsolescence Cadence requires absolute cryptographic finality to ensure that expunged records cannot be recovered via forensic data carving techniques. Once a data block reaches its terminal threshold without an active preservation hold, it is subjected to a multi-pass overwrite routine that generates a formal secure erasure verification certificate within the infrastructure log. This certificate acts as an unalterable artifact that populates the central compliance audit trail, providing third-party inspectors and internal risk officers with clear, time-stamped evidence of programmatic data destruction. Failure to maintain these granular erasure records can jeopardize the organization's data privacy certifications and lead to immediate operational non-compliance penalties during annual governance reviews.</w:t>
      </w:r>
    </w:p>
    <w:p w14:paraId="61EF6C95" w14:textId="77777777" w:rsidR="00B16740" w:rsidRDefault="00B16740"/>
    <w:sectPr w:rsidR="00B1674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195"/>
    <w:rsid w:val="003C4195"/>
    <w:rsid w:val="00B16740"/>
    <w:rsid w:val="00C32F71"/>
    <w:rsid w:val="00E65F7C"/>
    <w:rsid w:val="00E87963"/>
    <w:rsid w:val="00F05DF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90300"/>
  <w15:chartTrackingRefBased/>
  <w15:docId w15:val="{E797DC5F-631B-46D4-8A82-819E8DF56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41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41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41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41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41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41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41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41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41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1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41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41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41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41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41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41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41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4195"/>
    <w:rPr>
      <w:rFonts w:eastAsiaTheme="majorEastAsia" w:cstheme="majorBidi"/>
      <w:color w:val="272727" w:themeColor="text1" w:themeTint="D8"/>
    </w:rPr>
  </w:style>
  <w:style w:type="paragraph" w:styleId="Title">
    <w:name w:val="Title"/>
    <w:basedOn w:val="Normal"/>
    <w:next w:val="Normal"/>
    <w:link w:val="TitleChar"/>
    <w:uiPriority w:val="10"/>
    <w:qFormat/>
    <w:rsid w:val="003C41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1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1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41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4195"/>
    <w:pPr>
      <w:spacing w:before="160"/>
      <w:jc w:val="center"/>
    </w:pPr>
    <w:rPr>
      <w:i/>
      <w:iCs/>
      <w:color w:val="404040" w:themeColor="text1" w:themeTint="BF"/>
    </w:rPr>
  </w:style>
  <w:style w:type="character" w:customStyle="1" w:styleId="QuoteChar">
    <w:name w:val="Quote Char"/>
    <w:basedOn w:val="DefaultParagraphFont"/>
    <w:link w:val="Quote"/>
    <w:uiPriority w:val="29"/>
    <w:rsid w:val="003C4195"/>
    <w:rPr>
      <w:i/>
      <w:iCs/>
      <w:color w:val="404040" w:themeColor="text1" w:themeTint="BF"/>
    </w:rPr>
  </w:style>
  <w:style w:type="paragraph" w:styleId="ListParagraph">
    <w:name w:val="List Paragraph"/>
    <w:basedOn w:val="Normal"/>
    <w:uiPriority w:val="34"/>
    <w:qFormat/>
    <w:rsid w:val="003C4195"/>
    <w:pPr>
      <w:ind w:left="720"/>
      <w:contextualSpacing/>
    </w:pPr>
  </w:style>
  <w:style w:type="character" w:styleId="IntenseEmphasis">
    <w:name w:val="Intense Emphasis"/>
    <w:basedOn w:val="DefaultParagraphFont"/>
    <w:uiPriority w:val="21"/>
    <w:qFormat/>
    <w:rsid w:val="003C4195"/>
    <w:rPr>
      <w:i/>
      <w:iCs/>
      <w:color w:val="0F4761" w:themeColor="accent1" w:themeShade="BF"/>
    </w:rPr>
  </w:style>
  <w:style w:type="paragraph" w:styleId="IntenseQuote">
    <w:name w:val="Intense Quote"/>
    <w:basedOn w:val="Normal"/>
    <w:next w:val="Normal"/>
    <w:link w:val="IntenseQuoteChar"/>
    <w:uiPriority w:val="30"/>
    <w:qFormat/>
    <w:rsid w:val="003C41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4195"/>
    <w:rPr>
      <w:i/>
      <w:iCs/>
      <w:color w:val="0F4761" w:themeColor="accent1" w:themeShade="BF"/>
    </w:rPr>
  </w:style>
  <w:style w:type="character" w:styleId="IntenseReference">
    <w:name w:val="Intense Reference"/>
    <w:basedOn w:val="DefaultParagraphFont"/>
    <w:uiPriority w:val="32"/>
    <w:qFormat/>
    <w:rsid w:val="003C41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1802</Words>
  <Characters>10278</Characters>
  <Application>Microsoft Office Word</Application>
  <DocSecurity>0</DocSecurity>
  <Lines>85</Lines>
  <Paragraphs>24</Paragraphs>
  <ScaleCrop>false</ScaleCrop>
  <Company/>
  <LinksUpToDate>false</LinksUpToDate>
  <CharactersWithSpaces>12056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(20101664) Fatima Zahra</dc:creator>
  <cp:keywords/>
  <dc:description/>
  <cp:lastModifiedBy>(20101664) Fatima Zahra</cp:lastModifiedBy>
  <cp:revision>5</cp:revision>
  <dcterms:created xsi:type="dcterms:W3CDTF">2026-06-11T12:06:00Z</dcterms:created>
  <dcterms:modified xsi:type="dcterms:W3CDTF">2026-06-11T12:08:00Z</dcterms:modified>
</cp:coreProperties>
</file>