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SEC-02: Data Retention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Document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SEC-02</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Owner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 Information Security</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Effective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May 2024</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Review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May 2025</w:t>
            </w:r>
          </w:p>
        </w:tc>
      </w:tr>
    </w:tbl>
    <w:p>
      <w:r>
        <w:t xml:space="preserve"/>
      </w:r>
    </w:p>
    <w:p>
      <w:pPr>
        <w:pStyle w:val="Heading2"/>
      </w:pPr>
      <w:r>
        <w:t xml:space="preserve">1. Purpose and Legal Basis</w:t>
      </w:r>
    </w:p>
    <w:p>
      <w:pPr>
        <w:spacing w:after="100"/>
      </w:pPr>
      <w:r>
        <w:t xml:space="preserve">This policy governs how TechNova Solutions Ltd. collects, stores, and deletes data in compliance with the General Data Protection Regulation (GDPR), the Data Protection Act 2018, and applicable Irish data protection law.</w:t>
      </w:r>
    </w:p>
    <w:p>
      <w:r>
        <w:t xml:space="preserve"/>
      </w:r>
    </w:p>
    <w:p>
      <w:pPr>
        <w:pStyle w:val="Heading2"/>
      </w:pPr>
      <w:r>
        <w:t xml:space="preserve">2. Data Retention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Retention Period</w:t>
            </w:r>
          </w:p>
        </w:tc>
        <w:tc>
          <w:tcPr>
            <w:tcW w:type="dxa" w:w="38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Legal Basis</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Employee HR Records</w:t>
            </w:r>
          </w:p>
        </w:tc>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7 years post-departure</w:t>
            </w:r>
          </w:p>
        </w:tc>
        <w:tc>
          <w:tcPr>
            <w:tcW w:type="dxa" w:w="38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Employment law obligation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Contract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years post-contract end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 and legal compliance</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Financial Transactions</w:t>
            </w:r>
          </w:p>
        </w:tc>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7 years</w:t>
            </w:r>
          </w:p>
        </w:tc>
        <w:tc>
          <w:tcPr>
            <w:tcW w:type="dxa" w:w="38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Revenue Commissioners requirement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 Correspondence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years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Legitimate business interest</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Security Logs / Access Logs</w:t>
            </w:r>
          </w:p>
        </w:tc>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12 months</w:t>
            </w:r>
          </w:p>
        </w:tc>
        <w:tc>
          <w:tcPr>
            <w:tcW w:type="dxa" w:w="38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Security monitoring, GDPR Art.6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Recruitment Data (unsuccessful)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months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Legitimate interest</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Marketing Data</w:t>
            </w:r>
          </w:p>
        </w:tc>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Until consent withdrawn</w:t>
            </w:r>
          </w:p>
        </w:tc>
        <w:tc>
          <w:tcPr>
            <w:tcW w:type="dxa" w:w="38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GDPR consent basis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CCTV Footage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days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security</w:t>
            </w:r>
          </w:p>
        </w:tc>
      </w:tr>
    </w:tbl>
    <w:p>
      <w:r>
        <w:t xml:space="preserve"/>
      </w:r>
    </w:p>
    <w:p>
      <w:pPr>
        <w:pStyle w:val="Heading2"/>
      </w:pPr>
      <w:r>
        <w:t xml:space="preserve">3. Data Deletion</w:t>
      </w:r>
    </w:p>
    <w:p>
      <w:pPr>
        <w:spacing w:after="100"/>
      </w:pPr>
      <w:r>
        <w:t xml:space="preserve">Data that has reached its retention period must be securely deleted. Digital data: cryptographic erasure or DoD 5220.22-M multi-pass overwrite. Physical media: cross-cut shredding to DIN 66399 Level P-4 minimum. Deletion must be logged in the Data Deletion Register maintained by the Information Security team.</w:t>
      </w:r>
    </w:p>
    <w:p>
      <w:r>
        <w:t xml:space="preserve"/>
      </w:r>
    </w:p>
    <w:p>
      <w:pPr>
        <w:pStyle w:val="Heading2"/>
      </w:pPr>
      <w:r>
        <w:t xml:space="preserve">4. Data Breach Reporting</w:t>
      </w:r>
    </w:p>
    <w:p>
      <w:pPr>
        <w:spacing w:after="100"/>
      </w:pPr>
      <w:r>
        <w:t xml:space="preserve">Any suspected or confirmed data breach must be reported to the Data Protection Officer (dpo@technova.ie) within 24 hours of discovery. Under GDPR Article 33, the DPO must notify the Data Protection Commission (DPC) within 72 hours if the breach poses a risk to individuals.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5FA3"/>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A3C6E"/>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2026-06-06T05:37:29.849Z</dcterms:created>
  <dcterms:modified xsi:type="dcterms:W3CDTF">2026-06-06T05:37:29.849Z</dcterms:modified>
</cp:coreProperties>
</file>

<file path=docProps/custom.xml><?xml version="1.0" encoding="utf-8"?>
<Properties xmlns="http://schemas.openxmlformats.org/officeDocument/2006/custom-properties" xmlns:vt="http://schemas.openxmlformats.org/officeDocument/2006/docPropsVTypes"/>
</file>