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ENG-03: API Authentication Guide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May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November 2024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 Authentication Method</w:t>
      </w:r>
    </w:p>
    <w:p>
      <w:pPr>
        <w:spacing w:after="100"/>
      </w:pPr>
      <w:r>
        <w:t xml:space="preserve">All TechNova internal and external APIs use OAuth 2.0 with JWT Bearer Tokens as the primary authentication mechanism. API Key authentication is available for machine-to-machine (M2M) integrations only and must be approved by the Security team.</w:t>
      </w:r>
    </w:p>
    <w:p>
      <w:r>
        <w:t xml:space="preserve"/>
      </w:r>
    </w:p>
    <w:p>
      <w:pPr>
        <w:pStyle w:val="Heading2"/>
      </w:pPr>
      <w:r>
        <w:t xml:space="preserve">2. Token Lifecycle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Token Expiry: 15 minutes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 Token Expiry: 7 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tokens must be included in the Authorization header: Authorization: Bearer &lt;token&gt;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Tokens must never be stored in localStorage or cookies without the HttpOnly and Secure flags.</w:t>
      </w:r>
    </w:p>
    <w:p>
      <w:r>
        <w:t xml:space="preserve"/>
      </w:r>
    </w:p>
    <w:p>
      <w:pPr>
        <w:pStyle w:val="Heading2"/>
      </w:pPr>
      <w:r>
        <w:t xml:space="preserve">3. Obtaining Tokens</w:t>
      </w:r>
    </w:p>
    <w:p>
      <w:pPr>
        <w:spacing w:after="100"/>
      </w:pPr>
      <w:r>
        <w:t xml:space="preserve">POST to /auth/token with the following body: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 "grant_type": "password", "username": "&lt;email&gt;", "password": "&lt;password&gt;", "client_id": "&lt;your_client_id&gt;" }</w:t>
      </w:r>
    </w:p>
    <w:p>
      <w:pPr>
        <w:spacing w:after="100"/>
      </w:pPr>
      <w:r>
        <w:t xml:space="preserve">The response includes: access_token, refresh_token, expires_in (seconds), token_type.</w:t>
      </w:r>
    </w:p>
    <w:p>
      <w:r>
        <w:t xml:space="preserve"/>
      </w:r>
    </w:p>
    <w:p>
      <w:pPr>
        <w:pStyle w:val="Heading2"/>
      </w:pPr>
      <w:r>
        <w:t xml:space="preserve">4. Refreshing Tokens</w:t>
      </w:r>
    </w:p>
    <w:p>
      <w:pPr>
        <w:spacing w:after="100"/>
      </w:pPr>
      <w:r>
        <w:t xml:space="preserve">Before the access token expires, POST to /auth/refresh: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 "grant_type": "refresh_token", "refresh_token": "&lt;your_refresh_token&gt;", "client_id": "&lt;your_client_id&gt;" }</w:t>
      </w:r>
    </w:p>
    <w:p>
      <w:r>
        <w:t xml:space="preserve"/>
      </w:r>
    </w:p>
    <w:p>
      <w:pPr>
        <w:pStyle w:val="Heading2"/>
      </w:pPr>
      <w:r>
        <w:t xml:space="preserve">5. API Rate Limits</w:t>
      </w:r>
    </w:p>
    <w:p>
      <w:pPr>
        <w:spacing w:after="100"/>
      </w:pPr>
      <w:r>
        <w:t xml:space="preserve">Standard tier: 1000 requests per hour per client_id. Premium tier: 10,000 requests per hour. Rate limit headers are included in all responses: X-RateLimit-Limit, X-RateLimit-Remaining, X-RateLimit-Reset. Exceeding the rate limit returns HTTP 429 Too Many Requests.</w:t>
      </w:r>
    </w:p>
    <w:p>
      <w:r>
        <w:t xml:space="preserve"/>
      </w:r>
    </w:p>
    <w:p>
      <w:pPr>
        <w:pStyle w:val="Heading2"/>
      </w:pPr>
      <w:r>
        <w:t xml:space="preserve">6.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Bearer token.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token but insufficient scope/permission.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is under maintenance.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 Security Requirements</w:t>
      </w:r>
    </w:p>
    <w:p>
      <w:pPr>
        <w:spacing w:after="100"/>
      </w:pPr>
      <w:r>
        <w:t xml:space="preserve">All API communication must use HTTPS (TLS 1.2 minimum). Plain HTTP requests will be rejected with 301 redirect. Client credentials must be stored in environment variables or a secrets manager (not hardcoded). Tokens must be invalidated on user logout by calling POST /auth/revoke.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2026-06-06T05:37:29.794Z</dcterms:created>
  <dcterms:modified xsi:type="dcterms:W3CDTF">2026-06-06T05:37:29.794Z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