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F2E5D">
      <w:pPr>
        <w:pStyle w:val="2"/>
        <w:spacing w:line="360" w:lineRule="auto"/>
        <w:jc w:val="center"/>
        <w:rPr>
          <w:rFonts w:hint="eastAsia" w:ascii="宋体" w:hAnsi="宋体" w:eastAsia="宋体" w:cs="宋体"/>
          <w:sz w:val="44"/>
          <w:szCs w:val="44"/>
        </w:rPr>
      </w:pPr>
      <w:r>
        <w:rPr>
          <w:rFonts w:hint="eastAsia" w:ascii="宋体" w:hAnsi="宋体" w:eastAsia="宋体" w:cs="宋体"/>
          <w:sz w:val="44"/>
          <w:szCs w:val="44"/>
        </w:rPr>
        <w:t>项目整体计划</w:t>
      </w:r>
    </w:p>
    <w:p w14:paraId="2B5295A7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项目名称</w:t>
      </w:r>
      <w:r>
        <w:rPr>
          <w:rFonts w:hint="eastAsia" w:ascii="宋体" w:hAnsi="宋体" w:eastAsia="宋体" w:cs="宋体"/>
          <w:sz w:val="24"/>
          <w:szCs w:val="32"/>
        </w:rPr>
        <w:t>：小型企业客户信息管理系统</w:t>
      </w:r>
    </w:p>
    <w:p w14:paraId="0D06F635">
      <w:pPr>
        <w:spacing w:line="360" w:lineRule="auto"/>
        <w:rPr>
          <w:rFonts w:hint="eastAsia" w:ascii="宋体" w:hAnsi="宋体" w:eastAsia="宋体" w:cs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版本号</w:t>
      </w:r>
      <w:r>
        <w:rPr>
          <w:rFonts w:hint="eastAsia" w:ascii="宋体" w:hAnsi="宋体" w:eastAsia="宋体" w:cs="宋体"/>
          <w:sz w:val="24"/>
          <w:szCs w:val="32"/>
        </w:rPr>
        <w:t>：V1.</w:t>
      </w:r>
      <w:r>
        <w:rPr>
          <w:rFonts w:hint="eastAsia" w:ascii="宋体" w:hAnsi="宋体" w:eastAsia="宋体" w:cs="宋体"/>
          <w:sz w:val="24"/>
          <w:szCs w:val="32"/>
          <w:lang w:val="en-US" w:eastAsia="zh-CN"/>
        </w:rPr>
        <w:t>0</w:t>
      </w:r>
    </w:p>
    <w:p w14:paraId="3A385A91">
      <w:pPr>
        <w:spacing w:line="360" w:lineRule="auto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制定日期</w:t>
      </w:r>
      <w:r>
        <w:rPr>
          <w:rFonts w:hint="eastAsia" w:ascii="宋体" w:hAnsi="宋体" w:eastAsia="宋体" w:cs="宋体"/>
          <w:sz w:val="24"/>
          <w:szCs w:val="32"/>
        </w:rPr>
        <w:t>：2025年12月21日</w:t>
      </w:r>
    </w:p>
    <w:p w14:paraId="320E8E63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项目综述</w:t>
      </w:r>
    </w:p>
    <w:p w14:paraId="690A222B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项目背景与动因</w:t>
      </w:r>
    </w:p>
    <w:p w14:paraId="6F5B1F56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sz w:val="24"/>
          <w:szCs w:val="32"/>
        </w:rPr>
        <w:t>当前，小型企业在客户管理环节普遍面临信息碎片化、流程非标准化与数据价值挖掘不足等核心挑战。传统的Excel表格、纸质台账等管理方式，已无法支撑客户资源的有效沉淀、销售协同的效率提升与管理决策的数据驱动，成为制约企业客户资产规模化运营的关键瓶颈。</w:t>
      </w:r>
    </w:p>
    <w:p w14:paraId="24139B54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项目核心目标</w:t>
      </w:r>
    </w:p>
    <w:p w14:paraId="7400A14D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本项目旨在交付一套轻量化、易用性强的小型企业客户信息管理系统，以实现以下战略与运营目标：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2"/>
        <w:gridCol w:w="3974"/>
        <w:gridCol w:w="2768"/>
      </w:tblGrid>
      <w:tr w14:paraId="66BB0B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2" w:type="dxa"/>
            <w:tcMar>
              <w:left w:w="108" w:type="dxa"/>
              <w:right w:w="108" w:type="dxa"/>
            </w:tcMar>
            <w:vAlign w:val="center"/>
          </w:tcPr>
          <w:p w14:paraId="08F9353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目标维度</w:t>
            </w:r>
          </w:p>
        </w:tc>
        <w:tc>
          <w:tcPr>
            <w:tcW w:w="3974" w:type="dxa"/>
            <w:tcMar>
              <w:left w:w="108" w:type="dxa"/>
              <w:right w:w="108" w:type="dxa"/>
            </w:tcMar>
            <w:vAlign w:val="center"/>
          </w:tcPr>
          <w:p w14:paraId="12395CC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具体描述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B23D6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成功度量指标</w:t>
            </w:r>
          </w:p>
        </w:tc>
      </w:tr>
      <w:tr w14:paraId="7EC5A69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2" w:type="dxa"/>
            <w:tcMar>
              <w:left w:w="108" w:type="dxa"/>
              <w:right w:w="108" w:type="dxa"/>
            </w:tcMar>
            <w:vAlign w:val="center"/>
          </w:tcPr>
          <w:p w14:paraId="48B3B9C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运营提效</w:t>
            </w:r>
          </w:p>
        </w:tc>
        <w:tc>
          <w:tcPr>
            <w:tcW w:w="3974" w:type="dxa"/>
            <w:tcMar>
              <w:left w:w="108" w:type="dxa"/>
              <w:right w:w="108" w:type="dxa"/>
            </w:tcMar>
            <w:vAlign w:val="center"/>
          </w:tcPr>
          <w:p w14:paraId="2C4CB05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实现客户信息录入效率提升50%以上，杜绝信息遗漏与重复录入。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B8FEA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单客户信息录入平均耗时 ≤ 3分钟</w:t>
            </w:r>
          </w:p>
        </w:tc>
      </w:tr>
      <w:tr w14:paraId="23469D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2" w:type="dxa"/>
            <w:tcMar>
              <w:left w:w="108" w:type="dxa"/>
              <w:right w:w="108" w:type="dxa"/>
            </w:tcMar>
            <w:vAlign w:val="center"/>
          </w:tcPr>
          <w:p w14:paraId="2A25B63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过程可控</w:t>
            </w:r>
          </w:p>
        </w:tc>
        <w:tc>
          <w:tcPr>
            <w:tcW w:w="3974" w:type="dxa"/>
            <w:tcMar>
              <w:left w:w="108" w:type="dxa"/>
              <w:right w:w="108" w:type="dxa"/>
            </w:tcMar>
            <w:vAlign w:val="center"/>
          </w:tcPr>
          <w:p w14:paraId="26E4133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实现客户跟进过程100%线上化、可视化，确保销售动作可追溯、可分析。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A33B7B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跟进记录录入及时率 ≥ 95%</w:t>
            </w:r>
          </w:p>
        </w:tc>
      </w:tr>
      <w:tr w14:paraId="211269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2" w:type="dxa"/>
            <w:tcMar>
              <w:left w:w="108" w:type="dxa"/>
              <w:right w:w="108" w:type="dxa"/>
            </w:tcMar>
            <w:vAlign w:val="center"/>
          </w:tcPr>
          <w:p w14:paraId="61EB0BC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决策支撑</w:t>
            </w:r>
          </w:p>
        </w:tc>
        <w:tc>
          <w:tcPr>
            <w:tcW w:w="3974" w:type="dxa"/>
            <w:tcMar>
              <w:left w:w="108" w:type="dxa"/>
              <w:right w:w="108" w:type="dxa"/>
            </w:tcMar>
            <w:vAlign w:val="center"/>
          </w:tcPr>
          <w:p w14:paraId="2747643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为管理层提供实时、准确的客户数据看板与多维度分析报表。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711FA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关键经营报表生成耗时 ≤ 1分钟</w:t>
            </w:r>
          </w:p>
        </w:tc>
      </w:tr>
      <w:tr w14:paraId="47A7F8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62" w:type="dxa"/>
            <w:tcMar>
              <w:left w:w="108" w:type="dxa"/>
              <w:right w:w="108" w:type="dxa"/>
            </w:tcMar>
            <w:vAlign w:val="center"/>
          </w:tcPr>
          <w:p w14:paraId="79FA518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成本优化</w:t>
            </w:r>
          </w:p>
        </w:tc>
        <w:tc>
          <w:tcPr>
            <w:tcW w:w="3974" w:type="dxa"/>
            <w:tcMar>
              <w:left w:w="108" w:type="dxa"/>
              <w:right w:w="108" w:type="dxa"/>
            </w:tcMar>
            <w:vAlign w:val="center"/>
          </w:tcPr>
          <w:p w14:paraId="0988E8D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通过系统化替代零散工具，预计每年降低客户管理相关软性成本约30%。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82020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系统年维护成本 ≤ 总预算的15%</w:t>
            </w:r>
          </w:p>
        </w:tc>
      </w:tr>
    </w:tbl>
    <w:p w14:paraId="6E7CDEB6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项目范围界定</w:t>
      </w:r>
    </w:p>
    <w:p w14:paraId="131B7D29">
      <w:pPr>
        <w:pStyle w:val="5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1.3.1 包含范围 (In-Scope)</w:t>
      </w:r>
    </w:p>
    <w:p w14:paraId="3334AAD4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核心业务功能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6A6CABF0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客户信息全生命周期管理（增、删、改、查、批量导入/导出）。</w:t>
      </w:r>
    </w:p>
    <w:p w14:paraId="1087C2AC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多维动态客户分类与标签体系。</w:t>
      </w:r>
    </w:p>
    <w:p w14:paraId="75424425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客户跟进记录管理（图文记录、计划提醒、历史时间轴）。</w:t>
      </w:r>
    </w:p>
    <w:p w14:paraId="0D84BCD1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预置数据分析报表（客户概览、转化漏斗、跟进统计）及自定义导出。</w:t>
      </w:r>
    </w:p>
    <w:p w14:paraId="7C4BFBB8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系统管理功能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62B7DB9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基于角色的访问控制（RBAC），区分管理员、销售员权限。</w:t>
      </w:r>
    </w:p>
    <w:p w14:paraId="72C2B831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基础数据配置（客户字段、分类规则、提醒模板）。</w:t>
      </w:r>
    </w:p>
    <w:p w14:paraId="2AD6F16B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系统操作日志审计与数据备份/恢复机制。</w:t>
      </w:r>
    </w:p>
    <w:p w14:paraId="63D62DA5">
      <w:pPr>
        <w:numPr>
          <w:ilvl w:val="0"/>
          <w:numId w:val="1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非功能性需求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5757AA00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系统平均响应时间 ≤ 2秒，支持50用户并发操作。</w:t>
      </w:r>
    </w:p>
    <w:p w14:paraId="2E8569B4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支持主流浏览器（Chrome, Edge, Firefox）访问。</w:t>
      </w:r>
    </w:p>
    <w:p w14:paraId="00B6CA37">
      <w:pPr>
        <w:numPr>
          <w:ilvl w:val="1"/>
          <w:numId w:val="1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客户敏感信息（如联系人、电话）在数据库层加密存储。</w:t>
      </w:r>
    </w:p>
    <w:p w14:paraId="392F9D9D">
      <w:pPr>
        <w:pStyle w:val="5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1.3.2 明确排除范围 (Out-of-Scope)</w:t>
      </w:r>
    </w:p>
    <w:p w14:paraId="544B4635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不包含基于AI的客户价值预测、智能跟进建议或自动化营销触达功能。</w:t>
      </w:r>
    </w:p>
    <w:p w14:paraId="06CE6F42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不涉及与企业现有财务软件、ERP或OA系统的深度API集成。</w:t>
      </w:r>
    </w:p>
    <w:p w14:paraId="6E74A0D4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不提供面向企业客户（B端）的自助查询或服务门户。</w:t>
      </w:r>
    </w:p>
    <w:p w14:paraId="20636F6C">
      <w:pPr>
        <w:numPr>
          <w:ilvl w:val="0"/>
          <w:numId w:val="2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</w:rPr>
        <w:t>不设计支持海量数据（千万级以上）或超高并发（千级以上）的架构。</w:t>
      </w:r>
    </w:p>
    <w:p w14:paraId="70786DEA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项目组织与职责</w:t>
      </w:r>
    </w:p>
    <w:p w14:paraId="4BD209E8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为确保资源高效协同与职责清晰，设立如下项目组织结构：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9"/>
        <w:gridCol w:w="2567"/>
        <w:gridCol w:w="2222"/>
        <w:gridCol w:w="1586"/>
      </w:tblGrid>
      <w:tr w14:paraId="419563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63079B3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角色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0DFA23F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核心职责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0823E7E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关键产出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4FF9D24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负责人</w:t>
            </w:r>
          </w:p>
        </w:tc>
      </w:tr>
      <w:tr w14:paraId="3BD50DD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5B8ED7F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项目经理 (PM)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78287E5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项目全周期管理，范围、进度、成本、质量与风险的综合管控；内外部关键干系人沟通。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21B831F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项目计划、里程碑报告、总结报告。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335697AF">
            <w:pPr>
              <w:spacing w:line="360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李雨菲</w:t>
            </w:r>
          </w:p>
        </w:tc>
      </w:tr>
      <w:tr w14:paraId="302829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4BE686C7">
            <w:pPr>
              <w:spacing w:line="360" w:lineRule="auto"/>
              <w:rPr>
                <w:rFonts w:hint="eastAsia" w:ascii="宋体" w:hAnsi="宋体" w:eastAsia="宋体" w:cs="宋体"/>
              </w:rPr>
            </w:pPr>
            <w:bookmarkStart w:id="0" w:name="_GoBack"/>
            <w:r>
              <w:rPr>
                <w:rFonts w:hint="eastAsia" w:ascii="宋体" w:hAnsi="宋体" w:eastAsia="宋体" w:cs="宋体"/>
                <w:b/>
              </w:rPr>
              <w:t>技术负责人 (PSM)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4106CE9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主导技术方案选型与架构设计；管理开发、测试与部署过程；解决重大技术难题。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4171727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系统架构设计文档、技术评审报告。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251A087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李雨菲</w:t>
            </w:r>
            <w:r>
              <w:rPr>
                <w:rFonts w:hint="eastAsia" w:ascii="宋体" w:hAnsi="宋体" w:eastAsia="宋体" w:cs="宋体"/>
              </w:rPr>
              <w:t>（兼）</w:t>
            </w:r>
          </w:p>
        </w:tc>
      </w:tr>
      <w:bookmarkEnd w:id="0"/>
      <w:tr w14:paraId="7E358D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76C7168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需求与分析工程师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0E5F92A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对接业务部门，梳理、分析与确认需求；编写需求规格说明书。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70BF5E8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需求规格说明书、业务流程原型。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642F457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陈涛</w:t>
            </w:r>
          </w:p>
        </w:tc>
      </w:tr>
      <w:tr w14:paraId="1B8E874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5DB7512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系统架构师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067FA2D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设计系统整体技术架构、数据库结构及核心接口规范。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45F5880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系统架构说明书、数据库设计文档。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31FBB7ED">
            <w:pPr>
              <w:spacing w:line="36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张皓然</w:t>
            </w:r>
          </w:p>
        </w:tc>
      </w:tr>
      <w:tr w14:paraId="5291D89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2E04875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开发工程师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59DB03E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根据设计文档进行功能模块的编码实现、单元测试与调试。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6E02941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可运行的功能模块、单元测试报告。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7CA85F75">
            <w:pPr>
              <w:spacing w:line="360" w:lineRule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陈炜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</w:rPr>
              <w:t>王贞熙</w:t>
            </w:r>
          </w:p>
        </w:tc>
      </w:tr>
      <w:tr w14:paraId="1CEA80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0D3A91A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测试工程师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6ACF7E8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制定测试策略与用例，执行功能、性能及兼容性测试，跟踪缺陷闭环。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7173F59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测试计划、测试报告、缺陷清单。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799B9AAC">
            <w:pPr>
              <w:spacing w:line="360" w:lineRule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杨涵韬</w:t>
            </w:r>
          </w:p>
        </w:tc>
      </w:tr>
      <w:tr w14:paraId="368F536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6B598AD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实施与运维工程师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3D4E00B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负责生产环境部署、系统初始化、用户培训及上线后初期运维支持。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7C3E94A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部署手册、培训材料、运维记录。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0BD7BC8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朱旭安</w:t>
            </w:r>
          </w:p>
        </w:tc>
      </w:tr>
      <w:tr w14:paraId="26F14C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29" w:type="dxa"/>
            <w:tcMar>
              <w:left w:w="108" w:type="dxa"/>
              <w:right w:w="108" w:type="dxa"/>
            </w:tcMar>
            <w:vAlign w:val="center"/>
          </w:tcPr>
          <w:p w14:paraId="27A589D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配置与质量管理员 (QA)</w:t>
            </w:r>
          </w:p>
        </w:tc>
        <w:tc>
          <w:tcPr>
            <w:tcW w:w="2567" w:type="dxa"/>
            <w:tcMar>
              <w:left w:w="108" w:type="dxa"/>
              <w:right w:w="108" w:type="dxa"/>
            </w:tcMar>
            <w:vAlign w:val="center"/>
          </w:tcPr>
          <w:p w14:paraId="5CA0A2F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管理项目文档与代码版本；执行过程与交付物质量审计。</w:t>
            </w:r>
          </w:p>
        </w:tc>
        <w:tc>
          <w:tcPr>
            <w:tcW w:w="2222" w:type="dxa"/>
            <w:tcMar>
              <w:left w:w="108" w:type="dxa"/>
              <w:right w:w="108" w:type="dxa"/>
            </w:tcMar>
            <w:vAlign w:val="center"/>
          </w:tcPr>
          <w:p w14:paraId="4F51706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配置状态报告、质量审计报告。</w:t>
            </w:r>
          </w:p>
        </w:tc>
        <w:tc>
          <w:tcPr>
            <w:tcW w:w="1586" w:type="dxa"/>
            <w:tcMar>
              <w:left w:w="108" w:type="dxa"/>
              <w:right w:w="108" w:type="dxa"/>
            </w:tcMar>
            <w:vAlign w:val="center"/>
          </w:tcPr>
          <w:p w14:paraId="3AABEA1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韩小乐</w:t>
            </w:r>
          </w:p>
        </w:tc>
      </w:tr>
    </w:tbl>
    <w:p w14:paraId="4590E997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项目预算</w:t>
      </w:r>
    </w:p>
    <w:p w14:paraId="262C6FB4">
      <w:pPr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本项目总预算为</w:t>
      </w:r>
      <w:r>
        <w:rPr>
          <w:rFonts w:hint="eastAsia" w:ascii="宋体" w:hAnsi="宋体" w:eastAsia="宋体" w:cs="宋体"/>
          <w:b/>
          <w:sz w:val="24"/>
          <w:szCs w:val="24"/>
        </w:rPr>
        <w:t>人民币150，000元</w:t>
      </w:r>
      <w:r>
        <w:rPr>
          <w:rFonts w:hint="eastAsia" w:ascii="宋体" w:hAnsi="宋体" w:eastAsia="宋体" w:cs="宋体"/>
          <w:sz w:val="24"/>
          <w:szCs w:val="24"/>
        </w:rPr>
        <w:t>，详细构成如下：</w:t>
      </w:r>
    </w:p>
    <w:p w14:paraId="022BF3AB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人力成本 (总计：132，000元)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3"/>
        <w:gridCol w:w="1123"/>
        <w:gridCol w:w="1711"/>
        <w:gridCol w:w="1500"/>
        <w:gridCol w:w="1998"/>
      </w:tblGrid>
      <w:tr w14:paraId="6CE401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33A0A28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资源类别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1EC999C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估算人月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14888AC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月度成本标准（元）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56BD6E6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小计（元）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0A5F79C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备注</w:t>
            </w:r>
          </w:p>
        </w:tc>
      </w:tr>
      <w:tr w14:paraId="4B255D1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74316F8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项目管理（PM/PSM）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2C441B3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09758BE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12,000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1A0A80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27747C7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覆盖全项目周期</w:t>
            </w:r>
          </w:p>
        </w:tc>
      </w:tr>
      <w:tr w14:paraId="7905B8B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04526A1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需求、设计与开发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206933E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4E888CB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10,000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4D1881AE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60,000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6652CA7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需求1人月，设计1人月，开发4人月</w:t>
            </w:r>
          </w:p>
        </w:tc>
      </w:tr>
      <w:tr w14:paraId="26D5D1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643FFE9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5DD61F6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4E12C55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8,000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6F8E2B9C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0D8AF27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测试设计与执行</w:t>
            </w:r>
          </w:p>
        </w:tc>
      </w:tr>
      <w:tr w14:paraId="380409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27BE4AA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实施与运维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152DFAC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626F671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8,000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3D7C151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1364A14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上线部署及试运行支持</w:t>
            </w:r>
          </w:p>
        </w:tc>
      </w:tr>
      <w:tr w14:paraId="706C6B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3B3CFE4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配置与质量管理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49A23CD4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18BB353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8,000</w:t>
            </w: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71D401E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6B7DB26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过程支持与质量保障</w:t>
            </w:r>
          </w:p>
        </w:tc>
      </w:tr>
      <w:tr w14:paraId="3CE7D0A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973" w:type="dxa"/>
            <w:tcMar>
              <w:left w:w="108" w:type="dxa"/>
              <w:right w:w="108" w:type="dxa"/>
            </w:tcMar>
            <w:vAlign w:val="center"/>
          </w:tcPr>
          <w:p w14:paraId="19FD64D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人力成本合计</w:t>
            </w:r>
          </w:p>
        </w:tc>
        <w:tc>
          <w:tcPr>
            <w:tcW w:w="1123" w:type="dxa"/>
            <w:tcMar>
              <w:left w:w="108" w:type="dxa"/>
              <w:right w:w="108" w:type="dxa"/>
            </w:tcMar>
            <w:vAlign w:val="center"/>
          </w:tcPr>
          <w:p w14:paraId="63B4D73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711" w:type="dxa"/>
            <w:tcMar>
              <w:left w:w="108" w:type="dxa"/>
              <w:right w:w="108" w:type="dxa"/>
            </w:tcMar>
            <w:vAlign w:val="center"/>
          </w:tcPr>
          <w:p w14:paraId="3CD438A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500" w:type="dxa"/>
            <w:tcMar>
              <w:left w:w="108" w:type="dxa"/>
              <w:right w:w="108" w:type="dxa"/>
            </w:tcMar>
            <w:vAlign w:val="center"/>
          </w:tcPr>
          <w:p w14:paraId="14A2C60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132,000</w:t>
            </w:r>
          </w:p>
        </w:tc>
        <w:tc>
          <w:tcPr>
            <w:tcW w:w="1998" w:type="dxa"/>
            <w:tcMar>
              <w:left w:w="108" w:type="dxa"/>
              <w:right w:w="108" w:type="dxa"/>
            </w:tcMar>
            <w:vAlign w:val="center"/>
          </w:tcPr>
          <w:p w14:paraId="468FF3C3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1CD04105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软硬件及第三方服务成本 (总计：6,000元)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29"/>
        <w:gridCol w:w="3007"/>
        <w:gridCol w:w="2768"/>
      </w:tblGrid>
      <w:tr w14:paraId="67320D2A">
        <w:tc>
          <w:tcPr>
            <w:tcW w:w="2529" w:type="dxa"/>
            <w:tcMar>
              <w:left w:w="108" w:type="dxa"/>
              <w:right w:w="108" w:type="dxa"/>
            </w:tcMar>
            <w:vAlign w:val="center"/>
          </w:tcPr>
          <w:p w14:paraId="3C66295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项目</w:t>
            </w:r>
          </w:p>
        </w:tc>
        <w:tc>
          <w:tcPr>
            <w:tcW w:w="3007" w:type="dxa"/>
            <w:tcMar>
              <w:left w:w="108" w:type="dxa"/>
              <w:right w:w="108" w:type="dxa"/>
            </w:tcMar>
            <w:vAlign w:val="center"/>
          </w:tcPr>
          <w:p w14:paraId="498AEF1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估算金额（元）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F131D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7565EE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9" w:type="dxa"/>
            <w:tcMar>
              <w:left w:w="108" w:type="dxa"/>
              <w:right w:w="108" w:type="dxa"/>
            </w:tcMar>
            <w:vAlign w:val="center"/>
          </w:tcPr>
          <w:p w14:paraId="3FA694B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云服务器租赁</w:t>
            </w:r>
          </w:p>
        </w:tc>
        <w:tc>
          <w:tcPr>
            <w:tcW w:w="3007" w:type="dxa"/>
            <w:tcMar>
              <w:left w:w="108" w:type="dxa"/>
              <w:right w:w="108" w:type="dxa"/>
            </w:tcMar>
            <w:vAlign w:val="center"/>
          </w:tcPr>
          <w:p w14:paraId="30C91618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C531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阿里云/腾讯云轻量应用服务器，1年期</w:t>
            </w:r>
          </w:p>
        </w:tc>
      </w:tr>
      <w:tr w14:paraId="787103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9" w:type="dxa"/>
            <w:tcMar>
              <w:left w:w="108" w:type="dxa"/>
              <w:right w:w="108" w:type="dxa"/>
            </w:tcMar>
            <w:vAlign w:val="center"/>
          </w:tcPr>
          <w:p w14:paraId="7EBFFBA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开发与测试工具许可</w:t>
            </w:r>
          </w:p>
        </w:tc>
        <w:tc>
          <w:tcPr>
            <w:tcW w:w="3007" w:type="dxa"/>
            <w:tcMar>
              <w:left w:w="108" w:type="dxa"/>
              <w:right w:w="108" w:type="dxa"/>
            </w:tcMar>
            <w:vAlign w:val="center"/>
          </w:tcPr>
          <w:p w14:paraId="60BCF35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3,200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AC075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商用数据库工具、设计工具插件等</w:t>
            </w:r>
          </w:p>
        </w:tc>
      </w:tr>
      <w:tr w14:paraId="03504A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9" w:type="dxa"/>
            <w:tcMar>
              <w:left w:w="108" w:type="dxa"/>
              <w:right w:w="108" w:type="dxa"/>
            </w:tcMar>
            <w:vAlign w:val="center"/>
          </w:tcPr>
          <w:p w14:paraId="4E8A971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第三方兼容性测试服务</w:t>
            </w:r>
          </w:p>
        </w:tc>
        <w:tc>
          <w:tcPr>
            <w:tcW w:w="3007" w:type="dxa"/>
            <w:tcMar>
              <w:left w:w="108" w:type="dxa"/>
              <w:right w:w="108" w:type="dxa"/>
            </w:tcMar>
            <w:vAlign w:val="center"/>
          </w:tcPr>
          <w:p w14:paraId="282D2EB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2,000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B607F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关键业务场景的跨浏览器、跨平台测试</w:t>
            </w:r>
          </w:p>
        </w:tc>
      </w:tr>
      <w:tr w14:paraId="7CA900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29" w:type="dxa"/>
            <w:tcMar>
              <w:left w:w="108" w:type="dxa"/>
              <w:right w:w="108" w:type="dxa"/>
            </w:tcMar>
            <w:vAlign w:val="center"/>
          </w:tcPr>
          <w:p w14:paraId="38507E2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软硬件及服务成本合计</w:t>
            </w:r>
          </w:p>
        </w:tc>
        <w:tc>
          <w:tcPr>
            <w:tcW w:w="3007" w:type="dxa"/>
            <w:tcMar>
              <w:left w:w="108" w:type="dxa"/>
              <w:right w:w="108" w:type="dxa"/>
            </w:tcMar>
            <w:vAlign w:val="center"/>
          </w:tcPr>
          <w:p w14:paraId="3C22F18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6,000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02FD38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6FEDE200">
      <w:pPr>
        <w:pStyle w:val="4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3.3 其他直接费用 (总计：12,000元)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8FB6E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E4C7E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AFB91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估算金额（元）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F95139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5C5014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E1515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文档制作与印刷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027C5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1,500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3C269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用户手册、管理手册等</w:t>
            </w:r>
          </w:p>
        </w:tc>
      </w:tr>
      <w:tr w14:paraId="10BD31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287C9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项目沟通与评审会议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D99190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1,500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6582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场地、物料等</w:t>
            </w:r>
          </w:p>
        </w:tc>
      </w:tr>
      <w:tr w14:paraId="055589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CB83C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应急储备金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CB411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9,000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3B620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按总预算6%计提，用于应对未预见开支</w:t>
            </w:r>
          </w:p>
        </w:tc>
      </w:tr>
      <w:tr w14:paraId="72DB39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68A30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其他费用合计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DB44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12,000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883E07">
            <w:pPr>
              <w:spacing w:line="360" w:lineRule="auto"/>
              <w:rPr>
                <w:rFonts w:hint="eastAsia" w:ascii="宋体" w:hAnsi="宋体" w:eastAsia="宋体" w:cs="宋体"/>
              </w:rPr>
            </w:pPr>
          </w:p>
        </w:tc>
      </w:tr>
    </w:tbl>
    <w:p w14:paraId="6862C19F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预算总计：132,000 + 6,000 + 12,000 = 150,000元</w:t>
      </w:r>
    </w:p>
    <w:p w14:paraId="366F5B76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主要里程碑计划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0"/>
        <w:gridCol w:w="1661"/>
        <w:gridCol w:w="2984"/>
        <w:gridCol w:w="1629"/>
      </w:tblGrid>
      <w:tr w14:paraId="28FFC9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76FA4221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里程碑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1BA23FE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计划完成时间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3F0B319E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核心交付物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63B20FF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验收标准</w:t>
            </w:r>
          </w:p>
        </w:tc>
      </w:tr>
      <w:tr w14:paraId="241AD25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6FDA024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M1：需求基线确立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5C49E2B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第2周末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2B9B8FA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经签署的《需求规格说明书》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核心业务流程原型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7B5CED1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所有干系人对需求范围达成一致并书面确认</w:t>
            </w:r>
          </w:p>
        </w:tc>
      </w:tr>
      <w:tr w14:paraId="41FE62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2FB6FC3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M2：设计评审通过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77BB2FD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第3周末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1642B6B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《系统架构设计文档》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《数据库设计说明书》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高保真UI交互原型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23BF451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技术方案通过内部评审，UI原型获得客户认可</w:t>
            </w:r>
          </w:p>
        </w:tc>
      </w:tr>
      <w:tr w14:paraId="2DB02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69CDB88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M3：开发完成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52BB9F9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第6周末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7CCE452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所有功能模块可执行代码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《单元测试报告》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集成版本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5E6784D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全部功能开发完毕，通过冒烟测试，可进入系统测试阶段</w:t>
            </w:r>
          </w:p>
        </w:tc>
      </w:tr>
      <w:tr w14:paraId="2DAF87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5BE7A5D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M4：测试完成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40E137D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第7周末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3B3D2DA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《最终测试报告》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《缺陷关闭报告》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UAT用户验收方案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77CEF17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所有测试用例执行完毕，关键缺陷修复率100%，达到上线质量标准</w:t>
            </w:r>
          </w:p>
        </w:tc>
      </w:tr>
      <w:tr w14:paraId="523522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30" w:type="dxa"/>
            <w:tcMar>
              <w:left w:w="108" w:type="dxa"/>
              <w:right w:w="108" w:type="dxa"/>
            </w:tcMar>
            <w:vAlign w:val="center"/>
          </w:tcPr>
          <w:p w14:paraId="6394E17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M5：系统上线</w:t>
            </w:r>
          </w:p>
        </w:tc>
        <w:tc>
          <w:tcPr>
            <w:tcW w:w="1661" w:type="dxa"/>
            <w:tcMar>
              <w:left w:w="108" w:type="dxa"/>
              <w:right w:w="108" w:type="dxa"/>
            </w:tcMar>
            <w:vAlign w:val="center"/>
          </w:tcPr>
          <w:p w14:paraId="13C19BE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第8周末</w:t>
            </w:r>
          </w:p>
        </w:tc>
        <w:tc>
          <w:tcPr>
            <w:tcW w:w="2984" w:type="dxa"/>
            <w:tcMar>
              <w:left w:w="108" w:type="dxa"/>
              <w:right w:w="108" w:type="dxa"/>
            </w:tcMar>
            <w:vAlign w:val="center"/>
          </w:tcPr>
          <w:p w14:paraId="56CB56A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系统在生产环境稳定运行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完整的《用户操作手册》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《上线总结报告》</w:t>
            </w:r>
          </w:p>
        </w:tc>
        <w:tc>
          <w:tcPr>
            <w:tcW w:w="1629" w:type="dxa"/>
            <w:tcMar>
              <w:left w:w="108" w:type="dxa"/>
              <w:right w:w="108" w:type="dxa"/>
            </w:tcMar>
            <w:vAlign w:val="center"/>
          </w:tcPr>
          <w:p w14:paraId="7EA5C48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系统完成部署，核心用户完成培训，业务方可正式使用</w:t>
            </w:r>
          </w:p>
        </w:tc>
      </w:tr>
    </w:tbl>
    <w:p w14:paraId="4FC9EE25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详细进度安排（WBS）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4"/>
        <w:gridCol w:w="1577"/>
        <w:gridCol w:w="1942"/>
        <w:gridCol w:w="1661"/>
        <w:gridCol w:w="1661"/>
      </w:tblGrid>
      <w:tr w14:paraId="6545DE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163D5CA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阶段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7B497E5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周期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77F2310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主要任务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7B3B9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输出物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3B491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责任角色</w:t>
            </w:r>
          </w:p>
        </w:tc>
      </w:tr>
      <w:tr w14:paraId="710D21B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655CA1A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启动与需求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7033D29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第1-2周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407FD8E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项目启动会、干系人访谈、需求梳理与分析、需求规格书编写与评审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A07CC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项目章程、需求规格书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A4C2B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PM、需求工程师</w:t>
            </w:r>
          </w:p>
        </w:tc>
      </w:tr>
      <w:tr w14:paraId="25B5BC5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051A074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系统设计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15B4A0B3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第3周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6E511EB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技术架构设计、数据库设计、UI/UX原型设计、设计评审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E8D01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架构设计文档、UI原型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46FA3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架构师、PSM</w:t>
            </w:r>
          </w:p>
        </w:tc>
      </w:tr>
      <w:tr w14:paraId="57D8590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63165D5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开发实现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2FC2378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第4-6周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6C614C5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环境搭建、模块编码（用户/客户/跟进/报表）、单元测试、模块集成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1D91AB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源代码、单元测试报告、集成版本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FEFF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开发工程师、PSM</w:t>
            </w:r>
          </w:p>
        </w:tc>
      </w:tr>
      <w:tr w14:paraId="421038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4E5AEC9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测试验证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68C802FF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第7周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1E51FC7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测试用例设计、功能测试、性能测试、缺陷修复与回归、UAT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BD1F5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测试报告、UAT签字确认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F5F9A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测试工程师、QA</w:t>
            </w:r>
          </w:p>
        </w:tc>
      </w:tr>
      <w:tr w14:paraId="0B500A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64" w:type="dxa"/>
            <w:tcMar>
              <w:left w:w="108" w:type="dxa"/>
              <w:right w:w="108" w:type="dxa"/>
            </w:tcMar>
            <w:vAlign w:val="center"/>
          </w:tcPr>
          <w:p w14:paraId="781E6D2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上线与收尾</w:t>
            </w:r>
          </w:p>
        </w:tc>
        <w:tc>
          <w:tcPr>
            <w:tcW w:w="1577" w:type="dxa"/>
            <w:tcMar>
              <w:left w:w="108" w:type="dxa"/>
              <w:right w:w="108" w:type="dxa"/>
            </w:tcMar>
            <w:vAlign w:val="center"/>
          </w:tcPr>
          <w:p w14:paraId="1BAEA0E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第8周</w:t>
            </w:r>
          </w:p>
        </w:tc>
        <w:tc>
          <w:tcPr>
            <w:tcW w:w="1942" w:type="dxa"/>
            <w:tcMar>
              <w:left w:w="108" w:type="dxa"/>
              <w:right w:w="108" w:type="dxa"/>
            </w:tcMar>
            <w:vAlign w:val="center"/>
          </w:tcPr>
          <w:p w14:paraId="696097A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生产环境部署、数据迁移、用户培训、上线发布、项目文档归档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ADE2F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上线系统、培训记录、项目总结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5C9E6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实施工程师、PM</w:t>
            </w:r>
          </w:p>
        </w:tc>
      </w:tr>
    </w:tbl>
    <w:p w14:paraId="4F9FA80B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风险管理计划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9"/>
        <w:gridCol w:w="767"/>
        <w:gridCol w:w="722"/>
        <w:gridCol w:w="800"/>
        <w:gridCol w:w="2962"/>
        <w:gridCol w:w="1384"/>
      </w:tblGrid>
      <w:tr w14:paraId="758036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9" w:type="dxa"/>
            <w:tcMar>
              <w:left w:w="108" w:type="dxa"/>
              <w:right w:w="108" w:type="dxa"/>
            </w:tcMar>
            <w:vAlign w:val="center"/>
          </w:tcPr>
          <w:p w14:paraId="21294E0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风险项</w:t>
            </w:r>
          </w:p>
        </w:tc>
        <w:tc>
          <w:tcPr>
            <w:tcW w:w="767" w:type="dxa"/>
            <w:tcMar>
              <w:left w:w="108" w:type="dxa"/>
              <w:right w:w="108" w:type="dxa"/>
            </w:tcMar>
            <w:vAlign w:val="center"/>
          </w:tcPr>
          <w:p w14:paraId="593DFB1D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概率</w:t>
            </w:r>
          </w:p>
        </w:tc>
        <w:tc>
          <w:tcPr>
            <w:tcW w:w="722" w:type="dxa"/>
            <w:tcMar>
              <w:left w:w="108" w:type="dxa"/>
              <w:right w:w="108" w:type="dxa"/>
            </w:tcMar>
            <w:vAlign w:val="center"/>
          </w:tcPr>
          <w:p w14:paraId="3EF54B1C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影响</w:t>
            </w:r>
          </w:p>
        </w:tc>
        <w:tc>
          <w:tcPr>
            <w:tcW w:w="800" w:type="dxa"/>
            <w:tcMar>
              <w:left w:w="108" w:type="dxa"/>
              <w:right w:w="108" w:type="dxa"/>
            </w:tcMar>
            <w:vAlign w:val="center"/>
          </w:tcPr>
          <w:p w14:paraId="10A7AC84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等级</w:t>
            </w:r>
          </w:p>
        </w:tc>
        <w:tc>
          <w:tcPr>
            <w:tcW w:w="2962" w:type="dxa"/>
            <w:tcMar>
              <w:left w:w="108" w:type="dxa"/>
              <w:right w:w="108" w:type="dxa"/>
            </w:tcMar>
            <w:vAlign w:val="center"/>
          </w:tcPr>
          <w:p w14:paraId="13C77780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应对策略（预案）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789E28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责任人</w:t>
            </w:r>
          </w:p>
        </w:tc>
      </w:tr>
      <w:tr w14:paraId="5A851E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9" w:type="dxa"/>
            <w:tcMar>
              <w:left w:w="108" w:type="dxa"/>
              <w:right w:w="108" w:type="dxa"/>
            </w:tcMar>
            <w:vAlign w:val="center"/>
          </w:tcPr>
          <w:p w14:paraId="59366D2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需求范围蔓延</w:t>
            </w:r>
          </w:p>
        </w:tc>
        <w:tc>
          <w:tcPr>
            <w:tcW w:w="767" w:type="dxa"/>
            <w:tcMar>
              <w:left w:w="108" w:type="dxa"/>
              <w:right w:w="108" w:type="dxa"/>
            </w:tcMar>
            <w:vAlign w:val="center"/>
          </w:tcPr>
          <w:p w14:paraId="734EA711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722" w:type="dxa"/>
            <w:tcMar>
              <w:left w:w="108" w:type="dxa"/>
              <w:right w:w="108" w:type="dxa"/>
            </w:tcMar>
            <w:vAlign w:val="center"/>
          </w:tcPr>
          <w:p w14:paraId="13BDABDB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</w:t>
            </w:r>
          </w:p>
        </w:tc>
        <w:tc>
          <w:tcPr>
            <w:tcW w:w="800" w:type="dxa"/>
            <w:tcMar>
              <w:left w:w="108" w:type="dxa"/>
              <w:right w:w="108" w:type="dxa"/>
            </w:tcMar>
            <w:vAlign w:val="center"/>
          </w:tcPr>
          <w:p w14:paraId="49761BD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</w:t>
            </w:r>
          </w:p>
        </w:tc>
        <w:tc>
          <w:tcPr>
            <w:tcW w:w="2962" w:type="dxa"/>
            <w:tcMar>
              <w:left w:w="108" w:type="dxa"/>
              <w:right w:w="108" w:type="dxa"/>
            </w:tcMar>
            <w:vAlign w:val="center"/>
          </w:tcPr>
          <w:p w14:paraId="3CCF771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严格执行变更控制流程（CCB）。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将非核心变更纳入二期需求池。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B5DD6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</w:t>
            </w:r>
          </w:p>
        </w:tc>
      </w:tr>
      <w:tr w14:paraId="23AF65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9" w:type="dxa"/>
            <w:tcMar>
              <w:left w:w="108" w:type="dxa"/>
              <w:right w:w="108" w:type="dxa"/>
            </w:tcMar>
            <w:vAlign w:val="center"/>
          </w:tcPr>
          <w:p w14:paraId="7092F69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历史数据导入失败或质量差</w:t>
            </w:r>
          </w:p>
        </w:tc>
        <w:tc>
          <w:tcPr>
            <w:tcW w:w="767" w:type="dxa"/>
            <w:tcMar>
              <w:left w:w="108" w:type="dxa"/>
              <w:right w:w="108" w:type="dxa"/>
            </w:tcMar>
            <w:vAlign w:val="center"/>
          </w:tcPr>
          <w:p w14:paraId="01ABA7C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722" w:type="dxa"/>
            <w:tcMar>
              <w:left w:w="108" w:type="dxa"/>
              <w:right w:w="108" w:type="dxa"/>
            </w:tcMar>
            <w:vAlign w:val="center"/>
          </w:tcPr>
          <w:p w14:paraId="3358C9BD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800" w:type="dxa"/>
            <w:tcMar>
              <w:left w:w="108" w:type="dxa"/>
              <w:right w:w="108" w:type="dxa"/>
            </w:tcMar>
            <w:vAlign w:val="center"/>
          </w:tcPr>
          <w:p w14:paraId="26225965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2962" w:type="dxa"/>
            <w:tcMar>
              <w:left w:w="108" w:type="dxa"/>
              <w:right w:w="108" w:type="dxa"/>
            </w:tcMar>
            <w:vAlign w:val="center"/>
          </w:tcPr>
          <w:p w14:paraId="46E0BE42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提前获取样本数据并开发数据清洗工具。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提供导入模板并设置严格的数据校验规则。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B74E74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开发工程师</w:t>
            </w:r>
          </w:p>
        </w:tc>
      </w:tr>
      <w:tr w14:paraId="16500EF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9" w:type="dxa"/>
            <w:tcMar>
              <w:left w:w="108" w:type="dxa"/>
              <w:right w:w="108" w:type="dxa"/>
            </w:tcMar>
            <w:vAlign w:val="center"/>
          </w:tcPr>
          <w:p w14:paraId="24DBF67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用户接受度低，使用阻力大</w:t>
            </w:r>
          </w:p>
        </w:tc>
        <w:tc>
          <w:tcPr>
            <w:tcW w:w="767" w:type="dxa"/>
            <w:tcMar>
              <w:left w:w="108" w:type="dxa"/>
              <w:right w:w="108" w:type="dxa"/>
            </w:tcMar>
            <w:vAlign w:val="center"/>
          </w:tcPr>
          <w:p w14:paraId="517EA0A6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722" w:type="dxa"/>
            <w:tcMar>
              <w:left w:w="108" w:type="dxa"/>
              <w:right w:w="108" w:type="dxa"/>
            </w:tcMar>
            <w:vAlign w:val="center"/>
          </w:tcPr>
          <w:p w14:paraId="4D13632A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800" w:type="dxa"/>
            <w:tcMar>
              <w:left w:w="108" w:type="dxa"/>
              <w:right w:w="108" w:type="dxa"/>
            </w:tcMar>
            <w:vAlign w:val="center"/>
          </w:tcPr>
          <w:p w14:paraId="3CEB846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2962" w:type="dxa"/>
            <w:tcMar>
              <w:left w:w="108" w:type="dxa"/>
              <w:right w:w="108" w:type="dxa"/>
            </w:tcMar>
            <w:vAlign w:val="center"/>
          </w:tcPr>
          <w:p w14:paraId="39758F4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邀请关键用户早期参与设计与测试。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制作视频教程与“快速上手指南”。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3. 上线后提供为期两周的“贴身”支持。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FEE9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实施工程师</w:t>
            </w:r>
          </w:p>
        </w:tc>
      </w:tr>
      <w:tr w14:paraId="6E51EE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9" w:type="dxa"/>
            <w:tcMar>
              <w:left w:w="108" w:type="dxa"/>
              <w:right w:w="108" w:type="dxa"/>
            </w:tcMar>
            <w:vAlign w:val="center"/>
          </w:tcPr>
          <w:p w14:paraId="3245A5E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项目关键人员离职</w:t>
            </w:r>
          </w:p>
        </w:tc>
        <w:tc>
          <w:tcPr>
            <w:tcW w:w="767" w:type="dxa"/>
            <w:tcMar>
              <w:left w:w="108" w:type="dxa"/>
              <w:right w:w="108" w:type="dxa"/>
            </w:tcMar>
            <w:vAlign w:val="center"/>
          </w:tcPr>
          <w:p w14:paraId="28572D37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低</w:t>
            </w:r>
          </w:p>
        </w:tc>
        <w:tc>
          <w:tcPr>
            <w:tcW w:w="722" w:type="dxa"/>
            <w:tcMar>
              <w:left w:w="108" w:type="dxa"/>
              <w:right w:w="108" w:type="dxa"/>
            </w:tcMar>
            <w:vAlign w:val="center"/>
          </w:tcPr>
          <w:p w14:paraId="53E080D9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高</w:t>
            </w:r>
          </w:p>
        </w:tc>
        <w:tc>
          <w:tcPr>
            <w:tcW w:w="800" w:type="dxa"/>
            <w:tcMar>
              <w:left w:w="108" w:type="dxa"/>
              <w:right w:w="108" w:type="dxa"/>
            </w:tcMar>
            <w:vAlign w:val="center"/>
          </w:tcPr>
          <w:p w14:paraId="7E8B3E72">
            <w:pPr>
              <w:spacing w:line="36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中</w:t>
            </w:r>
          </w:p>
        </w:tc>
        <w:tc>
          <w:tcPr>
            <w:tcW w:w="2962" w:type="dxa"/>
            <w:tcMar>
              <w:left w:w="108" w:type="dxa"/>
              <w:right w:w="108" w:type="dxa"/>
            </w:tcMar>
            <w:vAlign w:val="center"/>
          </w:tcPr>
          <w:p w14:paraId="6895BDB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 确保文档及时更新，知识有效共享。</w:t>
            </w:r>
            <w:r>
              <w:rPr>
                <w:rFonts w:hint="eastAsia" w:ascii="宋体" w:hAnsi="宋体" w:eastAsia="宋体" w:cs="宋体"/>
              </w:rPr>
              <w:br w:type="textWrapping"/>
            </w:r>
            <w:r>
              <w:rPr>
                <w:rFonts w:hint="eastAsia" w:ascii="宋体" w:hAnsi="宋体" w:eastAsia="宋体" w:cs="宋体"/>
              </w:rPr>
              <w:t>2. 建立AB角机制，避免单人负责核心模块。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80B1D6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PM/PSM</w:t>
            </w:r>
          </w:p>
        </w:tc>
      </w:tr>
    </w:tbl>
    <w:p w14:paraId="461579AD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质量管理计划</w:t>
      </w:r>
    </w:p>
    <w:p w14:paraId="08D5BC19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质量目标</w:t>
      </w:r>
      <w:r>
        <w:rPr>
          <w:rFonts w:hint="eastAsia" w:ascii="宋体" w:hAnsi="宋体" w:eastAsia="宋体" w:cs="宋体"/>
          <w:sz w:val="24"/>
          <w:szCs w:val="32"/>
        </w:rPr>
        <w:t>：交付零致命（Critical）缺陷、系统可用性 &gt; 99.5%、用户满意度 &gt; 4.2/5.0。</w:t>
      </w:r>
    </w:p>
    <w:p w14:paraId="78C114D5">
      <w:pPr>
        <w:numPr>
          <w:ilvl w:val="0"/>
          <w:numId w:val="3"/>
        </w:numPr>
        <w:spacing w:before="0" w:beforeAutospacing="1" w:after="0" w:afterAutospacing="1" w:line="360" w:lineRule="auto"/>
        <w:ind w:left="72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控制手段</w:t>
      </w:r>
      <w:r>
        <w:rPr>
          <w:rFonts w:hint="eastAsia" w:ascii="宋体" w:hAnsi="宋体" w:eastAsia="宋体" w:cs="宋体"/>
          <w:sz w:val="24"/>
          <w:szCs w:val="32"/>
        </w:rPr>
        <w:t>：</w:t>
      </w:r>
    </w:p>
    <w:p w14:paraId="44A9B1A1">
      <w:pPr>
        <w:numPr>
          <w:ilvl w:val="1"/>
          <w:numId w:val="3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过程审计</w:t>
      </w:r>
      <w:r>
        <w:rPr>
          <w:rFonts w:hint="eastAsia" w:ascii="宋体" w:hAnsi="宋体" w:eastAsia="宋体" w:cs="宋体"/>
          <w:sz w:val="24"/>
          <w:szCs w:val="32"/>
        </w:rPr>
        <w:t>：QA定期检查交付物是否符合模板与规范。</w:t>
      </w:r>
    </w:p>
    <w:p w14:paraId="2EFFDA44">
      <w:pPr>
        <w:numPr>
          <w:ilvl w:val="1"/>
          <w:numId w:val="3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阶段评审</w:t>
      </w:r>
      <w:r>
        <w:rPr>
          <w:rFonts w:hint="eastAsia" w:ascii="宋体" w:hAnsi="宋体" w:eastAsia="宋体" w:cs="宋体"/>
          <w:sz w:val="24"/>
          <w:szCs w:val="32"/>
        </w:rPr>
        <w:t>：在需求、设计、测试等关键节点设置正式评审会。</w:t>
      </w:r>
    </w:p>
    <w:p w14:paraId="61E5947F">
      <w:pPr>
        <w:numPr>
          <w:ilvl w:val="1"/>
          <w:numId w:val="3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测试策略</w:t>
      </w:r>
      <w:r>
        <w:rPr>
          <w:rFonts w:hint="eastAsia" w:ascii="宋体" w:hAnsi="宋体" w:eastAsia="宋体" w:cs="宋体"/>
          <w:sz w:val="24"/>
          <w:szCs w:val="32"/>
        </w:rPr>
        <w:t>：采用“单元测试 + 集成测试 + 系统测试 + UAT”的多层测试体系。</w:t>
      </w:r>
    </w:p>
    <w:p w14:paraId="6B147010">
      <w:pPr>
        <w:numPr>
          <w:ilvl w:val="1"/>
          <w:numId w:val="3"/>
        </w:numPr>
        <w:spacing w:before="0" w:beforeAutospacing="1" w:after="0" w:afterAutospacing="1" w:line="360" w:lineRule="auto"/>
        <w:ind w:left="1440" w:hanging="360"/>
        <w:rPr>
          <w:rFonts w:hint="eastAsia" w:ascii="宋体" w:hAnsi="宋体" w:eastAsia="宋体" w:cs="宋体"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验收标准</w:t>
      </w:r>
      <w:r>
        <w:rPr>
          <w:rFonts w:hint="eastAsia" w:ascii="宋体" w:hAnsi="宋体" w:eastAsia="宋体" w:cs="宋体"/>
          <w:sz w:val="24"/>
          <w:szCs w:val="32"/>
        </w:rPr>
        <w:t>：明确每项功能的验收条件（Acceptance Criteria）。</w:t>
      </w:r>
    </w:p>
    <w:p w14:paraId="4FB2760A">
      <w:pPr>
        <w:pStyle w:val="3"/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沟通管理计划</w:t>
      </w:r>
    </w:p>
    <w:tbl>
      <w:tblPr>
        <w:tblStyle w:val="7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E1EE98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9CD7DB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沟通对象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ED1BD2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沟通内容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3D4A1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频率/时机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545246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F218C7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负责人</w:t>
            </w:r>
          </w:p>
        </w:tc>
      </w:tr>
      <w:tr w14:paraId="25EE88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487A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企业决策层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998D2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项目总体进展、里程碑成果、重大风险、预算执行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772F7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每月一次 + 里程碑达成后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9B6CD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正式汇报会议 + 摘要报告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6DABE9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</w:t>
            </w:r>
          </w:p>
        </w:tc>
      </w:tr>
      <w:tr w14:paraId="0777FF3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259A0E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企业业务部门（用户）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D792573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需求确认、原型反馈、测试验证、培训安排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8B9B6A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需求/设计阶段每周一次；测试阶段关键节点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FB6BC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专题研讨会、现场沟通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893200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需求工程师</w:t>
            </w:r>
          </w:p>
        </w:tc>
      </w:tr>
      <w:tr w14:paraId="1921F9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01B5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项目核心团队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C5DB3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任务进展、技术难题、下周计划、风险与问题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F16D4D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每周固定时间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32EA8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周例会（站立会）、即时通讯群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C5AB6F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PM/PSM</w:t>
            </w:r>
          </w:p>
        </w:tc>
      </w:tr>
      <w:tr w14:paraId="1A9BF06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BB8B88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全体项目成员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AD43FA5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项目重要决策、计划变更、庆祝节点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D5C00B1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按需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8AB147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邮件通告、团队会议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3EB11C">
            <w:pPr>
              <w:spacing w:line="360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PM</w:t>
            </w:r>
          </w:p>
        </w:tc>
      </w:tr>
    </w:tbl>
    <w:p w14:paraId="03FE5D45">
      <w:pPr>
        <w:spacing w:line="360" w:lineRule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88C74B"/>
    <w:multiLevelType w:val="multilevel"/>
    <w:tmpl w:val="C588C7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2D1CB991"/>
    <w:multiLevelType w:val="singleLevel"/>
    <w:tmpl w:val="2D1CB9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51A1AABA"/>
    <w:multiLevelType w:val="multilevel"/>
    <w:tmpl w:val="51A1AA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1C6ADA"/>
    <w:rsid w:val="02D05F35"/>
    <w:rsid w:val="07001C2A"/>
    <w:rsid w:val="12FA679C"/>
    <w:rsid w:val="15BF51BB"/>
    <w:rsid w:val="1DE20269"/>
    <w:rsid w:val="301C6ADA"/>
    <w:rsid w:val="338B35FB"/>
    <w:rsid w:val="369342FF"/>
    <w:rsid w:val="3FA90709"/>
    <w:rsid w:val="599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2921</Words>
  <Characters>3267</Characters>
  <Lines>0</Lines>
  <Paragraphs>0</Paragraphs>
  <TotalTime>6</TotalTime>
  <ScaleCrop>false</ScaleCrop>
  <LinksUpToDate>false</LinksUpToDate>
  <CharactersWithSpaces>3347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2025-12-21T13:24:00Z</dcterms:created>
  <dc:creator>lyf</dc:creator>
  <cp:lastModifiedBy>lyf</cp:lastModifiedBy>
  <dcterms:modified xsi:type="dcterms:W3CDTF">2025-12-21T16:10:42Z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89DCDA855ACB40C6981E53C3561F27C3_11</vt:lpwstr>
  </property>
  <property fmtid="{D5CDD505-2E9C-101B-9397-08002B2CF9AE}" pid="4" name="KSOTemplateDocerSaveRecord">
    <vt:lpwstr>eyJoZGlkIjoiZTM3MzljMjA2ZmQyZTZhNzI0Yzk1NzlmYTk4NTQ1NDgiLCJ1c2VySWQiOiI2OTU1MzI4MTcifQ==</vt:lpwstr>
  </property>
</Properties>
</file>