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54B96">
      <w:pPr>
        <w:pStyle w:val="3"/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64" w:beforeAutospacing="0" w:after="72" w:afterAutospacing="0" w:line="360" w:lineRule="auto"/>
        <w:ind w:leftChars="0" w:right="0" w:rightChars="0"/>
        <w:jc w:val="center"/>
        <w:textAlignment w:val="auto"/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项目开发模式确</w:t>
      </w:r>
      <w:bookmarkStart w:id="0" w:name="_GoBack"/>
      <w:bookmarkEnd w:id="0"/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认说明</w:t>
      </w:r>
    </w:p>
    <w:p w14:paraId="256048D4">
      <w:pPr>
        <w:spacing w:line="360" w:lineRule="auto"/>
        <w:rPr>
          <w:rFonts w:hint="eastAsia" w:ascii="宋体" w:hAnsi="宋体" w:eastAsia="宋体" w:cs="宋体"/>
        </w:rPr>
      </w:pPr>
    </w:p>
    <w:p w14:paraId="5ECF714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项目名称</w:t>
      </w:r>
      <w:r>
        <w:rPr>
          <w:rFonts w:hint="eastAsia" w:ascii="宋体" w:hAnsi="宋体" w:eastAsia="宋体" w:cs="宋体"/>
          <w:sz w:val="24"/>
          <w:szCs w:val="24"/>
        </w:rPr>
        <w:t>：小型企业客户信息管理系统</w:t>
      </w:r>
    </w:p>
    <w:p w14:paraId="7FB1849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文档版本</w:t>
      </w:r>
      <w:r>
        <w:rPr>
          <w:rFonts w:hint="eastAsia" w:ascii="宋体" w:hAnsi="宋体" w:eastAsia="宋体" w:cs="宋体"/>
          <w:sz w:val="24"/>
          <w:szCs w:val="24"/>
        </w:rPr>
        <w:t>：V1.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</w:p>
    <w:p w14:paraId="6D597D9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决策日期</w:t>
      </w:r>
      <w:r>
        <w:rPr>
          <w:rFonts w:hint="eastAsia" w:ascii="宋体" w:hAnsi="宋体" w:eastAsia="宋体" w:cs="宋体"/>
          <w:sz w:val="24"/>
          <w:szCs w:val="24"/>
        </w:rPr>
        <w:t>：2025年12月21日</w:t>
      </w:r>
    </w:p>
    <w:p w14:paraId="7ABD63DB">
      <w:pPr>
        <w:spacing w:line="360" w:lineRule="auto"/>
        <w:rPr>
          <w:rFonts w:hint="eastAsia" w:ascii="宋体" w:hAnsi="宋体" w:eastAsia="宋体" w:cs="宋体"/>
        </w:rPr>
      </w:pPr>
    </w:p>
    <w:p w14:paraId="3407D660">
      <w:pPr>
        <w:pStyle w:val="3"/>
        <w:numPr>
          <w:numId w:val="0"/>
        </w:numPr>
        <w:spacing w:line="360" w:lineRule="auto"/>
        <w:ind w:right="0" w:righ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项目概况与特征分析</w:t>
      </w:r>
    </w:p>
    <w:p w14:paraId="2D64DAA5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项目背景与定位</w:t>
      </w:r>
    </w:p>
    <w:p w14:paraId="5FBBA3C0">
      <w:pPr>
        <w:spacing w:line="360" w:lineRule="auto"/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本项目旨在构建一套适用于小型企业的客户信息管理系统，实现客户数据的标准化管理、跟进过程的可视化追踪以及经营数据的结构化输出，支撑企业客户关系的系统化运营。</w:t>
      </w:r>
    </w:p>
    <w:p w14:paraId="66213497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核心特征识别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1"/>
        <w:gridCol w:w="4285"/>
        <w:gridCol w:w="2768"/>
      </w:tblGrid>
      <w:tr w14:paraId="62882FC8">
        <w:tc>
          <w:tcPr>
            <w:tcW w:w="1251" w:type="dxa"/>
            <w:tcMar>
              <w:left w:w="108" w:type="dxa"/>
              <w:right w:w="108" w:type="dxa"/>
            </w:tcMar>
            <w:vAlign w:val="center"/>
          </w:tcPr>
          <w:p w14:paraId="2FC3E10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特征维度</w:t>
            </w:r>
          </w:p>
        </w:tc>
        <w:tc>
          <w:tcPr>
            <w:tcW w:w="4285" w:type="dxa"/>
            <w:tcMar>
              <w:left w:w="108" w:type="dxa"/>
              <w:right w:w="108" w:type="dxa"/>
            </w:tcMar>
            <w:vAlign w:val="center"/>
          </w:tcPr>
          <w:p w14:paraId="59BA3C2A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具体表现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54A88A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对开发模式的影响</w:t>
            </w:r>
          </w:p>
        </w:tc>
      </w:tr>
      <w:tr w14:paraId="1A7C2010">
        <w:tc>
          <w:tcPr>
            <w:tcW w:w="1251" w:type="dxa"/>
            <w:tcMar>
              <w:left w:w="108" w:type="dxa"/>
              <w:right w:w="108" w:type="dxa"/>
            </w:tcMar>
            <w:vAlign w:val="center"/>
          </w:tcPr>
          <w:p w14:paraId="2CC45F27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需求特征</w:t>
            </w:r>
          </w:p>
        </w:tc>
        <w:tc>
          <w:tcPr>
            <w:tcW w:w="4285" w:type="dxa"/>
            <w:tcMar>
              <w:left w:w="108" w:type="dxa"/>
              <w:right w:w="108" w:type="dxa"/>
            </w:tcMar>
            <w:vAlign w:val="center"/>
          </w:tcPr>
          <w:p w14:paraId="2B3D0A5A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基于成熟的企业客户管理流程，功能定义完整，业务规则明确，无探索性需求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7E99D6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适合采用需求驱动的前期固化模式</w:t>
            </w:r>
          </w:p>
        </w:tc>
      </w:tr>
      <w:tr w14:paraId="13BAF0A1">
        <w:tc>
          <w:tcPr>
            <w:tcW w:w="1251" w:type="dxa"/>
            <w:tcMar>
              <w:left w:w="108" w:type="dxa"/>
              <w:right w:w="108" w:type="dxa"/>
            </w:tcMar>
            <w:vAlign w:val="center"/>
          </w:tcPr>
          <w:p w14:paraId="08E6FF5F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范围边界</w:t>
            </w:r>
          </w:p>
        </w:tc>
        <w:tc>
          <w:tcPr>
            <w:tcW w:w="4285" w:type="dxa"/>
            <w:tcMar>
              <w:left w:w="108" w:type="dxa"/>
              <w:right w:w="108" w:type="dxa"/>
            </w:tcMar>
            <w:vAlign w:val="center"/>
          </w:tcPr>
          <w:p w14:paraId="53C60C67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六大核心模块已明确，排除高级分析、跨系统集成等扩展功能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EB0F2E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范围可控，适合阶段化交付</w:t>
            </w:r>
          </w:p>
        </w:tc>
      </w:tr>
      <w:tr w14:paraId="7B7F675C">
        <w:trPr>
          <w:trHeight w:val="824" w:hRule="atLeast"/>
        </w:trPr>
        <w:tc>
          <w:tcPr>
            <w:tcW w:w="1251" w:type="dxa"/>
            <w:tcMar>
              <w:left w:w="108" w:type="dxa"/>
              <w:right w:w="108" w:type="dxa"/>
            </w:tcMar>
            <w:vAlign w:val="center"/>
          </w:tcPr>
          <w:p w14:paraId="53B976BE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质量指标</w:t>
            </w:r>
          </w:p>
        </w:tc>
        <w:tc>
          <w:tcPr>
            <w:tcW w:w="4285" w:type="dxa"/>
            <w:tcMar>
              <w:left w:w="108" w:type="dxa"/>
              <w:right w:w="108" w:type="dxa"/>
            </w:tcMar>
            <w:vAlign w:val="center"/>
          </w:tcPr>
          <w:p w14:paraId="1FE58B6C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响应时间≤2秒，支持50+并发，数据加密存储，操作全审计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D90B5C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需要严格的质量门禁与测试阶段</w:t>
            </w:r>
          </w:p>
        </w:tc>
      </w:tr>
      <w:tr w14:paraId="588F3694">
        <w:tc>
          <w:tcPr>
            <w:tcW w:w="1251" w:type="dxa"/>
            <w:tcMar>
              <w:left w:w="108" w:type="dxa"/>
              <w:right w:w="108" w:type="dxa"/>
            </w:tcMar>
            <w:vAlign w:val="center"/>
          </w:tcPr>
          <w:p w14:paraId="555F691B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进度约束</w:t>
            </w:r>
          </w:p>
        </w:tc>
        <w:tc>
          <w:tcPr>
            <w:tcW w:w="4285" w:type="dxa"/>
            <w:tcMar>
              <w:left w:w="108" w:type="dxa"/>
              <w:right w:w="108" w:type="dxa"/>
            </w:tcMar>
            <w:vAlign w:val="center"/>
          </w:tcPr>
          <w:p w14:paraId="50B4BD69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必须于8周内交付，匹配企业季度业务启动周期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1FA1BD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需采用高度可预测的进度管控模式</w:t>
            </w:r>
          </w:p>
        </w:tc>
      </w:tr>
      <w:tr w14:paraId="054BBA09">
        <w:tc>
          <w:tcPr>
            <w:tcW w:w="1251" w:type="dxa"/>
            <w:tcMar>
              <w:left w:w="108" w:type="dxa"/>
              <w:right w:w="108" w:type="dxa"/>
            </w:tcMar>
            <w:vAlign w:val="center"/>
          </w:tcPr>
          <w:p w14:paraId="2ED86BEE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成本结构</w:t>
            </w:r>
          </w:p>
        </w:tc>
        <w:tc>
          <w:tcPr>
            <w:tcW w:w="4285" w:type="dxa"/>
            <w:tcMar>
              <w:left w:w="108" w:type="dxa"/>
              <w:right w:w="108" w:type="dxa"/>
            </w:tcMar>
            <w:vAlign w:val="center"/>
          </w:tcPr>
          <w:p w14:paraId="169ED673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预算刚性，无弹性空间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783E15"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要求精确的成本分解与监控机制</w:t>
            </w:r>
          </w:p>
        </w:tc>
      </w:tr>
    </w:tbl>
    <w:p w14:paraId="33B59522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关键约束条件</w:t>
      </w:r>
    </w:p>
    <w:p w14:paraId="09FBC0CE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时间约束</w:t>
      </w:r>
      <w:r>
        <w:rPr>
          <w:rFonts w:hint="eastAsia" w:ascii="宋体" w:hAnsi="宋体" w:eastAsia="宋体" w:cs="宋体"/>
          <w:sz w:val="24"/>
          <w:szCs w:val="24"/>
        </w:rPr>
        <w:t>：绝对交付期限为2026年3月15日</w:t>
      </w:r>
    </w:p>
    <w:p w14:paraId="360B9081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资源约束</w:t>
      </w:r>
      <w:r>
        <w:rPr>
          <w:rFonts w:hint="eastAsia" w:ascii="宋体" w:hAnsi="宋体" w:eastAsia="宋体" w:cs="宋体"/>
          <w:sz w:val="24"/>
          <w:szCs w:val="24"/>
        </w:rPr>
        <w:t>：核心开发团队不超过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人</w:t>
      </w:r>
    </w:p>
    <w:p w14:paraId="4795381B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合规约束</w:t>
      </w:r>
      <w:r>
        <w:rPr>
          <w:rFonts w:hint="eastAsia" w:ascii="宋体" w:hAnsi="宋体" w:eastAsia="宋体" w:cs="宋体"/>
          <w:sz w:val="24"/>
          <w:szCs w:val="24"/>
        </w:rPr>
        <w:t>：须符合《企业数据安全管理基本规范》</w:t>
      </w:r>
    </w:p>
    <w:p w14:paraId="650F18AE">
      <w:pPr>
        <w:pStyle w:val="3"/>
        <w:numPr>
          <w:numId w:val="0"/>
        </w:numPr>
        <w:spacing w:line="360" w:lineRule="auto"/>
        <w:ind w:left="142" w:leftChars="0" w:right="0" w:rightChars="0"/>
        <w:rPr>
          <w:rFonts w:hint="eastAsia" w:ascii="宋体" w:hAnsi="宋体" w:eastAsia="宋体" w:cs="宋体"/>
        </w:rPr>
      </w:pPr>
    </w:p>
    <w:p w14:paraId="3E5BA794">
      <w:pPr>
        <w:pStyle w:val="3"/>
        <w:numPr>
          <w:numId w:val="0"/>
        </w:numPr>
        <w:spacing w:line="360" w:lineRule="auto"/>
        <w:ind w:right="0" w:righ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开发模式评估与比较</w:t>
      </w:r>
    </w:p>
    <w:p w14:paraId="3C64CE6F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评估框架设计</w:t>
      </w:r>
    </w:p>
    <w:p w14:paraId="5D1C5C6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</w:t>
      </w:r>
      <w:r>
        <w:rPr>
          <w:rFonts w:hint="eastAsia" w:ascii="宋体" w:hAnsi="宋体" w:eastAsia="宋体" w:cs="宋体"/>
          <w:b/>
          <w:sz w:val="24"/>
          <w:szCs w:val="24"/>
        </w:rPr>
        <w:t>五维评估法</w:t>
      </w:r>
      <w:r>
        <w:rPr>
          <w:rFonts w:hint="eastAsia" w:ascii="宋体" w:hAnsi="宋体" w:eastAsia="宋体" w:cs="宋体"/>
          <w:sz w:val="24"/>
          <w:szCs w:val="24"/>
        </w:rPr>
        <w:t>，从战略适配性、执行可控性、风险应对力、资源匹配度、价值实现度五个维度进行系统评估。</w:t>
      </w:r>
    </w:p>
    <w:p w14:paraId="45D121BB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候选模式深度分析</w:t>
      </w:r>
    </w:p>
    <w:p w14:paraId="0E7359E6">
      <w:pPr>
        <w:pStyle w:val="5"/>
        <w:numPr>
          <w:numId w:val="0"/>
        </w:numPr>
        <w:spacing w:line="360" w:lineRule="auto"/>
        <w:ind w:lef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(1)</w:t>
      </w:r>
      <w:r>
        <w:rPr>
          <w:rFonts w:hint="eastAsia" w:ascii="宋体" w:hAnsi="宋体" w:eastAsia="宋体" w:cs="宋体"/>
          <w:sz w:val="24"/>
          <w:szCs w:val="24"/>
        </w:rPr>
        <w:t>瀑布模型（Waterfall Model）</w:t>
      </w:r>
    </w:p>
    <w:p w14:paraId="1520D0F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核心逻辑</w:t>
      </w:r>
      <w:r>
        <w:rPr>
          <w:rFonts w:hint="eastAsia" w:ascii="宋体" w:hAnsi="宋体" w:eastAsia="宋体" w:cs="宋体"/>
          <w:sz w:val="24"/>
          <w:szCs w:val="24"/>
        </w:rPr>
        <w:t>：线性顺序开发，阶段输出明确，强调前期规划与设计完整性</w:t>
      </w:r>
    </w:p>
    <w:p w14:paraId="0B08B05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在本项目中的优势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4ABDD47A">
      <w:pPr>
        <w:numPr>
          <w:ilvl w:val="0"/>
          <w:numId w:val="3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支持完整的需求规格化与设计文档化</w:t>
      </w:r>
    </w:p>
    <w:p w14:paraId="7498AF46">
      <w:pPr>
        <w:numPr>
          <w:ilvl w:val="0"/>
          <w:numId w:val="3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便于成本精确核算与进度精准跟踪</w:t>
      </w:r>
    </w:p>
    <w:p w14:paraId="2ABA4DD7">
      <w:pPr>
        <w:numPr>
          <w:ilvl w:val="0"/>
          <w:numId w:val="3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阶段评审机制保障交付质量</w:t>
      </w:r>
    </w:p>
    <w:p w14:paraId="3507CD56">
      <w:pPr>
        <w:numPr>
          <w:ilvl w:val="0"/>
          <w:numId w:val="3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匹配客户的阶段性参与特点</w:t>
      </w:r>
    </w:p>
    <w:p w14:paraId="2EC8199B">
      <w:pPr>
        <w:pStyle w:val="5"/>
        <w:numPr>
          <w:numId w:val="0"/>
        </w:numPr>
        <w:spacing w:line="360" w:lineRule="auto"/>
        <w:ind w:leftChars="0"/>
        <w:outlineLvl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(2)</w:t>
      </w:r>
      <w:r>
        <w:rPr>
          <w:rFonts w:hint="eastAsia" w:ascii="宋体" w:hAnsi="宋体" w:eastAsia="宋体" w:cs="宋体"/>
          <w:sz w:val="24"/>
          <w:szCs w:val="24"/>
        </w:rPr>
        <w:t>敏捷开发（Agile Development）</w:t>
      </w:r>
    </w:p>
    <w:p w14:paraId="6584D88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核心逻辑</w:t>
      </w:r>
      <w:r>
        <w:rPr>
          <w:rFonts w:hint="eastAsia" w:ascii="宋体" w:hAnsi="宋体" w:eastAsia="宋体" w:cs="宋体"/>
          <w:sz w:val="24"/>
          <w:szCs w:val="24"/>
        </w:rPr>
        <w:t>：迭代式演进，拥抱变化，强调快速交付与持续反馈</w:t>
      </w:r>
    </w:p>
    <w:p w14:paraId="65FB677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潜在风险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58453933">
      <w:pPr>
        <w:numPr>
          <w:ilvl w:val="0"/>
          <w:numId w:val="4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难以精确预测最终交付范围与时间</w:t>
      </w:r>
    </w:p>
    <w:p w14:paraId="2E5C9CFC">
      <w:pPr>
        <w:numPr>
          <w:ilvl w:val="0"/>
          <w:numId w:val="4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文档完整性可能不足</w:t>
      </w:r>
    </w:p>
    <w:p w14:paraId="1ABA9DFA">
      <w:pPr>
        <w:numPr>
          <w:ilvl w:val="0"/>
          <w:numId w:val="4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客户需高频参与，协调成本高</w:t>
      </w:r>
    </w:p>
    <w:p w14:paraId="7830AE12">
      <w:pPr>
        <w:numPr>
          <w:ilvl w:val="0"/>
          <w:numId w:val="4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预算控制难度较大</w:t>
      </w:r>
    </w:p>
    <w:p w14:paraId="60F30A98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量化评估矩阵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1"/>
        <w:gridCol w:w="978"/>
        <w:gridCol w:w="1655"/>
        <w:gridCol w:w="1645"/>
        <w:gridCol w:w="2566"/>
      </w:tblGrid>
      <w:tr w14:paraId="5880D990"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2FD9960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评估维度</w:t>
            </w:r>
          </w:p>
        </w:tc>
        <w:tc>
          <w:tcPr>
            <w:tcW w:w="978" w:type="dxa"/>
            <w:tcMar>
              <w:left w:w="108" w:type="dxa"/>
              <w:right w:w="108" w:type="dxa"/>
            </w:tcMar>
            <w:vAlign w:val="center"/>
          </w:tcPr>
          <w:p w14:paraId="2EB20BF5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权重</w:t>
            </w:r>
          </w:p>
        </w:tc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7778B35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瀑布模型评分</w:t>
            </w:r>
          </w:p>
        </w:tc>
        <w:tc>
          <w:tcPr>
            <w:tcW w:w="1645" w:type="dxa"/>
            <w:tcMar>
              <w:left w:w="108" w:type="dxa"/>
              <w:right w:w="108" w:type="dxa"/>
            </w:tcMar>
            <w:vAlign w:val="center"/>
          </w:tcPr>
          <w:p w14:paraId="35254F78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敏捷开发评分</w:t>
            </w:r>
          </w:p>
        </w:tc>
        <w:tc>
          <w:tcPr>
            <w:tcW w:w="2566" w:type="dxa"/>
            <w:tcMar>
              <w:left w:w="108" w:type="dxa"/>
              <w:right w:w="108" w:type="dxa"/>
            </w:tcMar>
            <w:vAlign w:val="center"/>
          </w:tcPr>
          <w:p w14:paraId="159FC6EF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评分依据</w:t>
            </w:r>
          </w:p>
        </w:tc>
      </w:tr>
      <w:tr w14:paraId="2B2CC7DA"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3F435CE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战略适配性</w:t>
            </w:r>
          </w:p>
        </w:tc>
        <w:tc>
          <w:tcPr>
            <w:tcW w:w="978" w:type="dxa"/>
            <w:tcMar>
              <w:left w:w="108" w:type="dxa"/>
              <w:right w:w="108" w:type="dxa"/>
            </w:tcMar>
            <w:vAlign w:val="center"/>
          </w:tcPr>
          <w:p w14:paraId="75FCF71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25%</w:t>
            </w:r>
          </w:p>
        </w:tc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18A11A3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9.2</w:t>
            </w:r>
          </w:p>
        </w:tc>
        <w:tc>
          <w:tcPr>
            <w:tcW w:w="1645" w:type="dxa"/>
            <w:tcMar>
              <w:left w:w="108" w:type="dxa"/>
              <w:right w:w="108" w:type="dxa"/>
            </w:tcMar>
            <w:vAlign w:val="center"/>
          </w:tcPr>
          <w:p w14:paraId="4CE3DAA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6.5</w:t>
            </w:r>
          </w:p>
        </w:tc>
        <w:tc>
          <w:tcPr>
            <w:tcW w:w="2566" w:type="dxa"/>
            <w:tcMar>
              <w:left w:w="108" w:type="dxa"/>
              <w:right w:w="108" w:type="dxa"/>
            </w:tcMar>
            <w:vAlign w:val="center"/>
          </w:tcPr>
          <w:p w14:paraId="146503E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项目目标明确，无需探索验证</w:t>
            </w:r>
          </w:p>
        </w:tc>
      </w:tr>
      <w:tr w14:paraId="04113A44"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1EFE2C0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执行可控性</w:t>
            </w:r>
          </w:p>
        </w:tc>
        <w:tc>
          <w:tcPr>
            <w:tcW w:w="978" w:type="dxa"/>
            <w:tcMar>
              <w:left w:w="108" w:type="dxa"/>
              <w:right w:w="108" w:type="dxa"/>
            </w:tcMar>
            <w:vAlign w:val="center"/>
          </w:tcPr>
          <w:p w14:paraId="044E1E6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25%</w:t>
            </w:r>
          </w:p>
        </w:tc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43D208A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9.0</w:t>
            </w:r>
          </w:p>
        </w:tc>
        <w:tc>
          <w:tcPr>
            <w:tcW w:w="1645" w:type="dxa"/>
            <w:tcMar>
              <w:left w:w="108" w:type="dxa"/>
              <w:right w:w="108" w:type="dxa"/>
            </w:tcMar>
            <w:vAlign w:val="center"/>
          </w:tcPr>
          <w:p w14:paraId="1197A92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5.8</w:t>
            </w:r>
          </w:p>
        </w:tc>
        <w:tc>
          <w:tcPr>
            <w:tcW w:w="2566" w:type="dxa"/>
            <w:tcMar>
              <w:left w:w="108" w:type="dxa"/>
              <w:right w:w="108" w:type="dxa"/>
            </w:tcMar>
            <w:vAlign w:val="center"/>
          </w:tcPr>
          <w:p w14:paraId="2F1E3A2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刚性时间与预算约束</w:t>
            </w:r>
          </w:p>
        </w:tc>
      </w:tr>
      <w:tr w14:paraId="316E90A1"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3AF5E55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风险应对力</w:t>
            </w:r>
          </w:p>
        </w:tc>
        <w:tc>
          <w:tcPr>
            <w:tcW w:w="978" w:type="dxa"/>
            <w:tcMar>
              <w:left w:w="108" w:type="dxa"/>
              <w:right w:w="108" w:type="dxa"/>
            </w:tcMar>
            <w:vAlign w:val="center"/>
          </w:tcPr>
          <w:p w14:paraId="3611E2F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20%</w:t>
            </w:r>
          </w:p>
        </w:tc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0E68567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8.5</w:t>
            </w:r>
          </w:p>
        </w:tc>
        <w:tc>
          <w:tcPr>
            <w:tcW w:w="1645" w:type="dxa"/>
            <w:tcMar>
              <w:left w:w="108" w:type="dxa"/>
              <w:right w:w="108" w:type="dxa"/>
            </w:tcMar>
            <w:vAlign w:val="center"/>
          </w:tcPr>
          <w:p w14:paraId="2C33371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7.5</w:t>
            </w:r>
          </w:p>
        </w:tc>
        <w:tc>
          <w:tcPr>
            <w:tcW w:w="2566" w:type="dxa"/>
            <w:tcMar>
              <w:left w:w="108" w:type="dxa"/>
              <w:right w:w="108" w:type="dxa"/>
            </w:tcMar>
            <w:vAlign w:val="center"/>
          </w:tcPr>
          <w:p w14:paraId="51CB160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风险可前置识别与应对</w:t>
            </w:r>
          </w:p>
        </w:tc>
      </w:tr>
      <w:tr w14:paraId="2A97E7F8"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261A2A1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资源匹配度</w:t>
            </w:r>
          </w:p>
        </w:tc>
        <w:tc>
          <w:tcPr>
            <w:tcW w:w="978" w:type="dxa"/>
            <w:tcMar>
              <w:left w:w="108" w:type="dxa"/>
              <w:right w:w="108" w:type="dxa"/>
            </w:tcMar>
            <w:vAlign w:val="center"/>
          </w:tcPr>
          <w:p w14:paraId="4B3F3D8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15%</w:t>
            </w:r>
          </w:p>
        </w:tc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2B5034F3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9.5</w:t>
            </w:r>
          </w:p>
        </w:tc>
        <w:tc>
          <w:tcPr>
            <w:tcW w:w="1645" w:type="dxa"/>
            <w:tcMar>
              <w:left w:w="108" w:type="dxa"/>
              <w:right w:w="108" w:type="dxa"/>
            </w:tcMar>
            <w:vAlign w:val="center"/>
          </w:tcPr>
          <w:p w14:paraId="68753B0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6.0</w:t>
            </w:r>
          </w:p>
        </w:tc>
        <w:tc>
          <w:tcPr>
            <w:tcW w:w="2566" w:type="dxa"/>
            <w:tcMar>
              <w:left w:w="108" w:type="dxa"/>
              <w:right w:w="108" w:type="dxa"/>
            </w:tcMar>
            <w:vAlign w:val="center"/>
          </w:tcPr>
          <w:p w14:paraId="5BAABA8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团队经验与客户参与模式匹配</w:t>
            </w:r>
          </w:p>
        </w:tc>
      </w:tr>
      <w:tr w14:paraId="10F8A7E2"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533C721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价值实现度</w:t>
            </w:r>
          </w:p>
        </w:tc>
        <w:tc>
          <w:tcPr>
            <w:tcW w:w="978" w:type="dxa"/>
            <w:tcMar>
              <w:left w:w="108" w:type="dxa"/>
              <w:right w:w="108" w:type="dxa"/>
            </w:tcMar>
            <w:vAlign w:val="center"/>
          </w:tcPr>
          <w:p w14:paraId="4D12439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15%</w:t>
            </w:r>
          </w:p>
        </w:tc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7ABF90F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8.8</w:t>
            </w:r>
          </w:p>
        </w:tc>
        <w:tc>
          <w:tcPr>
            <w:tcW w:w="1645" w:type="dxa"/>
            <w:tcMar>
              <w:left w:w="108" w:type="dxa"/>
              <w:right w:w="108" w:type="dxa"/>
            </w:tcMar>
            <w:vAlign w:val="center"/>
          </w:tcPr>
          <w:p w14:paraId="7C60580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7.2</w:t>
            </w:r>
          </w:p>
        </w:tc>
        <w:tc>
          <w:tcPr>
            <w:tcW w:w="2566" w:type="dxa"/>
            <w:tcMar>
              <w:left w:w="108" w:type="dxa"/>
              <w:right w:w="108" w:type="dxa"/>
            </w:tcMar>
            <w:vAlign w:val="center"/>
          </w:tcPr>
          <w:p w14:paraId="0B7678EA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完整功能一次性交付价值更高</w:t>
            </w:r>
          </w:p>
        </w:tc>
      </w:tr>
      <w:tr w14:paraId="38924ED2">
        <w:tc>
          <w:tcPr>
            <w:tcW w:w="1461" w:type="dxa"/>
            <w:tcMar>
              <w:left w:w="108" w:type="dxa"/>
              <w:right w:w="108" w:type="dxa"/>
            </w:tcMar>
            <w:vAlign w:val="center"/>
          </w:tcPr>
          <w:p w14:paraId="68A08D4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综合得分</w:t>
            </w:r>
          </w:p>
        </w:tc>
        <w:tc>
          <w:tcPr>
            <w:tcW w:w="978" w:type="dxa"/>
            <w:tcMar>
              <w:left w:w="108" w:type="dxa"/>
              <w:right w:w="108" w:type="dxa"/>
            </w:tcMar>
            <w:vAlign w:val="center"/>
          </w:tcPr>
          <w:p w14:paraId="2C1C9B3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100%</w:t>
            </w:r>
          </w:p>
        </w:tc>
        <w:tc>
          <w:tcPr>
            <w:tcW w:w="1655" w:type="dxa"/>
            <w:tcMar>
              <w:left w:w="108" w:type="dxa"/>
              <w:right w:w="108" w:type="dxa"/>
            </w:tcMar>
            <w:vAlign w:val="center"/>
          </w:tcPr>
          <w:p w14:paraId="45404E3D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9.0</w:t>
            </w:r>
          </w:p>
        </w:tc>
        <w:tc>
          <w:tcPr>
            <w:tcW w:w="1645" w:type="dxa"/>
            <w:tcMar>
              <w:left w:w="108" w:type="dxa"/>
              <w:right w:w="108" w:type="dxa"/>
            </w:tcMar>
            <w:vAlign w:val="center"/>
          </w:tcPr>
          <w:p w14:paraId="33731F5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6.5</w:t>
            </w:r>
          </w:p>
        </w:tc>
        <w:tc>
          <w:tcPr>
            <w:tcW w:w="2566" w:type="dxa"/>
            <w:tcMar>
              <w:left w:w="108" w:type="dxa"/>
              <w:right w:w="108" w:type="dxa"/>
            </w:tcMar>
            <w:vAlign w:val="center"/>
          </w:tcPr>
          <w:p w14:paraId="5B626A6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瀑布模型明显占优</w:t>
            </w:r>
          </w:p>
        </w:tc>
      </w:tr>
    </w:tbl>
    <w:p w14:paraId="1CFEB5CC">
      <w:pPr>
        <w:pStyle w:val="3"/>
        <w:numPr>
          <w:numId w:val="0"/>
        </w:numPr>
        <w:spacing w:line="360" w:lineRule="auto"/>
        <w:ind w:right="0" w:rightChars="0"/>
        <w:rPr>
          <w:rFonts w:hint="eastAsia" w:ascii="宋体" w:hAnsi="宋体" w:eastAsia="宋体" w:cs="宋体"/>
        </w:rPr>
      </w:pPr>
    </w:p>
    <w:p w14:paraId="48273FCF">
      <w:pPr>
        <w:pStyle w:val="3"/>
        <w:numPr>
          <w:numId w:val="0"/>
        </w:numPr>
        <w:spacing w:line="360" w:lineRule="auto"/>
        <w:ind w:right="0" w:righ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决策依据与实施路径</w:t>
      </w:r>
    </w:p>
    <w:p w14:paraId="3D45BE34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核心决策逻辑</w:t>
      </w:r>
    </w:p>
    <w:p w14:paraId="08B1E0C6">
      <w:pPr>
        <w:numPr>
          <w:ilvl w:val="0"/>
          <w:numId w:val="5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需求确定性原则</w:t>
      </w:r>
      <w:r>
        <w:rPr>
          <w:rFonts w:hint="eastAsia" w:ascii="宋体" w:hAnsi="宋体" w:eastAsia="宋体" w:cs="宋体"/>
          <w:sz w:val="24"/>
          <w:szCs w:val="32"/>
        </w:rPr>
        <w:t>：项目需求基于标准化业务流程，变更概率低于10%</w:t>
      </w:r>
    </w:p>
    <w:p w14:paraId="126CAFE0">
      <w:pPr>
        <w:numPr>
          <w:ilvl w:val="0"/>
          <w:numId w:val="5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约束优先原则</w:t>
      </w:r>
      <w:r>
        <w:rPr>
          <w:rFonts w:hint="eastAsia" w:ascii="宋体" w:hAnsi="宋体" w:eastAsia="宋体" w:cs="宋体"/>
          <w:sz w:val="24"/>
          <w:szCs w:val="32"/>
        </w:rPr>
        <w:t>：时间与预算的刚性约束要求高度可预测的开发模式</w:t>
      </w:r>
    </w:p>
    <w:p w14:paraId="67E81D29">
      <w:pPr>
        <w:numPr>
          <w:ilvl w:val="0"/>
          <w:numId w:val="5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质量保障原则</w:t>
      </w:r>
      <w:r>
        <w:rPr>
          <w:rFonts w:hint="eastAsia" w:ascii="宋体" w:hAnsi="宋体" w:eastAsia="宋体" w:cs="宋体"/>
          <w:sz w:val="24"/>
          <w:szCs w:val="32"/>
        </w:rPr>
        <w:t>：数据安全与系统稳定性要求严格的质量门禁控制</w:t>
      </w:r>
    </w:p>
    <w:p w14:paraId="03BDB9A8">
      <w:pPr>
        <w:numPr>
          <w:ilvl w:val="0"/>
          <w:numId w:val="5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资源适配原则</w:t>
      </w:r>
      <w:r>
        <w:rPr>
          <w:rFonts w:hint="eastAsia" w:ascii="宋体" w:hAnsi="宋体" w:eastAsia="宋体" w:cs="宋体"/>
          <w:sz w:val="24"/>
          <w:szCs w:val="32"/>
        </w:rPr>
        <w:t>：团队能力结构与客户参与模式与瀑布模型高度契合</w:t>
      </w:r>
    </w:p>
    <w:p w14:paraId="6511774F">
      <w:pPr>
        <w:pStyle w:val="4"/>
        <w:spacing w:line="360" w:lineRule="auto"/>
        <w:rPr>
          <w:rFonts w:hint="eastAsia" w:ascii="宋体" w:hAnsi="宋体" w:eastAsia="宋体" w:cs="宋体"/>
          <w:sz w:val="28"/>
          <w:szCs w:val="22"/>
        </w:rPr>
      </w:pPr>
      <w:r>
        <w:rPr>
          <w:rFonts w:hint="eastAsia" w:ascii="宋体" w:hAnsi="宋体" w:eastAsia="宋体" w:cs="宋体"/>
        </w:rPr>
        <w:t>3.2 瀑布模型实施框架</w:t>
      </w:r>
    </w:p>
    <w:p w14:paraId="5B82FE79">
      <w:pPr>
        <w:pStyle w:val="5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阶段划分与关键产出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3"/>
        <w:gridCol w:w="2000"/>
        <w:gridCol w:w="2867"/>
        <w:gridCol w:w="1954"/>
      </w:tblGrid>
      <w:tr w14:paraId="77962272">
        <w:tc>
          <w:tcPr>
            <w:tcW w:w="1483" w:type="dxa"/>
            <w:tcMar>
              <w:left w:w="108" w:type="dxa"/>
              <w:right w:w="108" w:type="dxa"/>
            </w:tcMar>
            <w:vAlign w:val="center"/>
          </w:tcPr>
          <w:p w14:paraId="7B99A350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阶段</w:t>
            </w:r>
          </w:p>
        </w:tc>
        <w:tc>
          <w:tcPr>
            <w:tcW w:w="2000" w:type="dxa"/>
            <w:tcMar>
              <w:left w:w="108" w:type="dxa"/>
              <w:right w:w="108" w:type="dxa"/>
            </w:tcMar>
            <w:vAlign w:val="center"/>
          </w:tcPr>
          <w:p w14:paraId="7FD979B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时间窗口</w:t>
            </w:r>
          </w:p>
        </w:tc>
        <w:tc>
          <w:tcPr>
            <w:tcW w:w="2867" w:type="dxa"/>
            <w:tcMar>
              <w:left w:w="108" w:type="dxa"/>
              <w:right w:w="108" w:type="dxa"/>
            </w:tcMar>
            <w:vAlign w:val="center"/>
          </w:tcPr>
          <w:p w14:paraId="7A535C75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核心交付物</w:t>
            </w:r>
          </w:p>
        </w:tc>
        <w:tc>
          <w:tcPr>
            <w:tcW w:w="1954" w:type="dxa"/>
            <w:tcMar>
              <w:left w:w="108" w:type="dxa"/>
              <w:right w:w="108" w:type="dxa"/>
            </w:tcMar>
            <w:vAlign w:val="center"/>
          </w:tcPr>
          <w:p w14:paraId="47F1969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质量门禁</w:t>
            </w:r>
          </w:p>
        </w:tc>
      </w:tr>
      <w:tr w14:paraId="1A573AE9">
        <w:tc>
          <w:tcPr>
            <w:tcW w:w="1483" w:type="dxa"/>
            <w:tcMar>
              <w:left w:w="108" w:type="dxa"/>
              <w:right w:w="108" w:type="dxa"/>
            </w:tcMar>
            <w:vAlign w:val="center"/>
          </w:tcPr>
          <w:p w14:paraId="6AFF2774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需求分析</w:t>
            </w:r>
          </w:p>
        </w:tc>
        <w:tc>
          <w:tcPr>
            <w:tcW w:w="2000" w:type="dxa"/>
            <w:tcMar>
              <w:left w:w="108" w:type="dxa"/>
              <w:right w:w="108" w:type="dxa"/>
            </w:tcMar>
            <w:vAlign w:val="center"/>
          </w:tcPr>
          <w:p w14:paraId="0046D845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第1-2周</w:t>
            </w:r>
          </w:p>
        </w:tc>
        <w:tc>
          <w:tcPr>
            <w:tcW w:w="2867" w:type="dxa"/>
            <w:tcMar>
              <w:left w:w="108" w:type="dxa"/>
              <w:right w:w="108" w:type="dxa"/>
            </w:tcMar>
            <w:vAlign w:val="center"/>
          </w:tcPr>
          <w:p w14:paraId="6A9C2E1D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需求规格说明书、业务流程图</w:t>
            </w:r>
          </w:p>
        </w:tc>
        <w:tc>
          <w:tcPr>
            <w:tcW w:w="1954" w:type="dxa"/>
            <w:tcMar>
              <w:left w:w="108" w:type="dxa"/>
              <w:right w:w="108" w:type="dxa"/>
            </w:tcMar>
            <w:vAlign w:val="center"/>
          </w:tcPr>
          <w:p w14:paraId="4366FA36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客户签字确认</w:t>
            </w:r>
          </w:p>
        </w:tc>
      </w:tr>
      <w:tr w14:paraId="31C4EF6C">
        <w:tc>
          <w:tcPr>
            <w:tcW w:w="1483" w:type="dxa"/>
            <w:tcMar>
              <w:left w:w="108" w:type="dxa"/>
              <w:right w:w="108" w:type="dxa"/>
            </w:tcMar>
            <w:vAlign w:val="center"/>
          </w:tcPr>
          <w:p w14:paraId="4E532BBB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系统设计</w:t>
            </w:r>
          </w:p>
        </w:tc>
        <w:tc>
          <w:tcPr>
            <w:tcW w:w="2000" w:type="dxa"/>
            <w:tcMar>
              <w:left w:w="108" w:type="dxa"/>
              <w:right w:w="108" w:type="dxa"/>
            </w:tcMar>
            <w:vAlign w:val="center"/>
          </w:tcPr>
          <w:p w14:paraId="21A4D8A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第3-4周</w:t>
            </w:r>
          </w:p>
        </w:tc>
        <w:tc>
          <w:tcPr>
            <w:tcW w:w="2867" w:type="dxa"/>
            <w:tcMar>
              <w:left w:w="108" w:type="dxa"/>
              <w:right w:w="108" w:type="dxa"/>
            </w:tcMar>
            <w:vAlign w:val="center"/>
          </w:tcPr>
          <w:p w14:paraId="77A3832F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架构设计文档、数据库设计、UI原型</w:t>
            </w:r>
          </w:p>
        </w:tc>
        <w:tc>
          <w:tcPr>
            <w:tcW w:w="1954" w:type="dxa"/>
            <w:tcMar>
              <w:left w:w="108" w:type="dxa"/>
              <w:right w:w="108" w:type="dxa"/>
            </w:tcMar>
            <w:vAlign w:val="center"/>
          </w:tcPr>
          <w:p w14:paraId="0EA4C48E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技术评审通过</w:t>
            </w:r>
          </w:p>
        </w:tc>
      </w:tr>
      <w:tr w14:paraId="5F5A38CD">
        <w:tc>
          <w:tcPr>
            <w:tcW w:w="1483" w:type="dxa"/>
            <w:tcMar>
              <w:left w:w="108" w:type="dxa"/>
              <w:right w:w="108" w:type="dxa"/>
            </w:tcMar>
            <w:vAlign w:val="center"/>
          </w:tcPr>
          <w:p w14:paraId="489452C3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开发实现</w:t>
            </w:r>
          </w:p>
        </w:tc>
        <w:tc>
          <w:tcPr>
            <w:tcW w:w="2000" w:type="dxa"/>
            <w:tcMar>
              <w:left w:w="108" w:type="dxa"/>
              <w:right w:w="108" w:type="dxa"/>
            </w:tcMar>
            <w:vAlign w:val="center"/>
          </w:tcPr>
          <w:p w14:paraId="38E12998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第5-6周</w:t>
            </w:r>
          </w:p>
        </w:tc>
        <w:tc>
          <w:tcPr>
            <w:tcW w:w="2867" w:type="dxa"/>
            <w:tcMar>
              <w:left w:w="108" w:type="dxa"/>
              <w:right w:w="108" w:type="dxa"/>
            </w:tcMar>
            <w:vAlign w:val="center"/>
          </w:tcPr>
          <w:p w14:paraId="6DFD0611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可执行代码、单元测试报告</w:t>
            </w:r>
          </w:p>
        </w:tc>
        <w:tc>
          <w:tcPr>
            <w:tcW w:w="1954" w:type="dxa"/>
            <w:tcMar>
              <w:left w:w="108" w:type="dxa"/>
              <w:right w:w="108" w:type="dxa"/>
            </w:tcMar>
            <w:vAlign w:val="center"/>
          </w:tcPr>
          <w:p w14:paraId="5D398BBE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代码评审通过</w:t>
            </w:r>
          </w:p>
        </w:tc>
      </w:tr>
      <w:tr w14:paraId="07D941E9">
        <w:tc>
          <w:tcPr>
            <w:tcW w:w="1483" w:type="dxa"/>
            <w:tcMar>
              <w:left w:w="108" w:type="dxa"/>
              <w:right w:w="108" w:type="dxa"/>
            </w:tcMar>
            <w:vAlign w:val="center"/>
          </w:tcPr>
          <w:p w14:paraId="1AEDB86D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测试验证</w:t>
            </w:r>
          </w:p>
        </w:tc>
        <w:tc>
          <w:tcPr>
            <w:tcW w:w="2000" w:type="dxa"/>
            <w:tcMar>
              <w:left w:w="108" w:type="dxa"/>
              <w:right w:w="108" w:type="dxa"/>
            </w:tcMar>
            <w:vAlign w:val="center"/>
          </w:tcPr>
          <w:p w14:paraId="451832E2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第7周</w:t>
            </w:r>
          </w:p>
        </w:tc>
        <w:tc>
          <w:tcPr>
            <w:tcW w:w="2867" w:type="dxa"/>
            <w:tcMar>
              <w:left w:w="108" w:type="dxa"/>
              <w:right w:w="108" w:type="dxa"/>
            </w:tcMar>
            <w:vAlign w:val="center"/>
          </w:tcPr>
          <w:p w14:paraId="358541FF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测试报告、缺陷修复清单</w:t>
            </w:r>
          </w:p>
        </w:tc>
        <w:tc>
          <w:tcPr>
            <w:tcW w:w="1954" w:type="dxa"/>
            <w:tcMar>
              <w:left w:w="108" w:type="dxa"/>
              <w:right w:w="108" w:type="dxa"/>
            </w:tcMar>
            <w:vAlign w:val="center"/>
          </w:tcPr>
          <w:p w14:paraId="39F20208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缺陷清零</w:t>
            </w:r>
          </w:p>
        </w:tc>
      </w:tr>
      <w:tr w14:paraId="70690F15">
        <w:tc>
          <w:tcPr>
            <w:tcW w:w="1483" w:type="dxa"/>
            <w:tcMar>
              <w:left w:w="108" w:type="dxa"/>
              <w:right w:w="108" w:type="dxa"/>
            </w:tcMar>
            <w:vAlign w:val="center"/>
          </w:tcPr>
          <w:p w14:paraId="37300043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2"/>
                <w:szCs w:val="28"/>
              </w:rPr>
              <w:t>部署上线</w:t>
            </w:r>
          </w:p>
        </w:tc>
        <w:tc>
          <w:tcPr>
            <w:tcW w:w="2000" w:type="dxa"/>
            <w:tcMar>
              <w:left w:w="108" w:type="dxa"/>
              <w:right w:w="108" w:type="dxa"/>
            </w:tcMar>
            <w:vAlign w:val="center"/>
          </w:tcPr>
          <w:p w14:paraId="407751B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第8周</w:t>
            </w:r>
          </w:p>
        </w:tc>
        <w:tc>
          <w:tcPr>
            <w:tcW w:w="2867" w:type="dxa"/>
            <w:tcMar>
              <w:left w:w="108" w:type="dxa"/>
              <w:right w:w="108" w:type="dxa"/>
            </w:tcMar>
            <w:vAlign w:val="center"/>
          </w:tcPr>
          <w:p w14:paraId="7F3318BD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上线系统、用户手册、培训材料</w:t>
            </w:r>
          </w:p>
        </w:tc>
        <w:tc>
          <w:tcPr>
            <w:tcW w:w="1954" w:type="dxa"/>
            <w:tcMar>
              <w:left w:w="108" w:type="dxa"/>
              <w:right w:w="108" w:type="dxa"/>
            </w:tcMar>
            <w:vAlign w:val="center"/>
          </w:tcPr>
          <w:p w14:paraId="5F09BB2A">
            <w:pPr>
              <w:spacing w:line="360" w:lineRule="auto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用户验收通过</w:t>
            </w:r>
          </w:p>
        </w:tc>
      </w:tr>
    </w:tbl>
    <w:p w14:paraId="21A3CEF7">
      <w:pPr>
        <w:pStyle w:val="5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管控机制设计</w:t>
      </w:r>
    </w:p>
    <w:p w14:paraId="32F325F5">
      <w:pPr>
        <w:numPr>
          <w:ilvl w:val="0"/>
          <w:numId w:val="6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变更控制流程</w:t>
      </w:r>
      <w:r>
        <w:rPr>
          <w:rFonts w:hint="eastAsia" w:ascii="宋体" w:hAnsi="宋体" w:eastAsia="宋体" w:cs="宋体"/>
          <w:sz w:val="24"/>
          <w:szCs w:val="32"/>
        </w:rPr>
        <w:t>：任何需求变更需经变更控制委员会审批</w:t>
      </w:r>
    </w:p>
    <w:p w14:paraId="07C73225">
      <w:pPr>
        <w:numPr>
          <w:ilvl w:val="0"/>
          <w:numId w:val="6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里程碑评审</w:t>
      </w:r>
      <w:r>
        <w:rPr>
          <w:rFonts w:hint="eastAsia" w:ascii="宋体" w:hAnsi="宋体" w:eastAsia="宋体" w:cs="宋体"/>
          <w:sz w:val="24"/>
          <w:szCs w:val="32"/>
        </w:rPr>
        <w:t>：每个阶段结束前进行正式评审</w:t>
      </w:r>
    </w:p>
    <w:p w14:paraId="5EC675B0">
      <w:pPr>
        <w:numPr>
          <w:ilvl w:val="0"/>
          <w:numId w:val="6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质量审计</w:t>
      </w:r>
      <w:r>
        <w:rPr>
          <w:rFonts w:hint="eastAsia" w:ascii="宋体" w:hAnsi="宋体" w:eastAsia="宋体" w:cs="宋体"/>
          <w:sz w:val="24"/>
          <w:szCs w:val="32"/>
        </w:rPr>
        <w:t>：QA独立进行过程与产出审计</w:t>
      </w:r>
    </w:p>
    <w:p w14:paraId="5CA0FDF0">
      <w:pPr>
        <w:numPr>
          <w:ilvl w:val="0"/>
          <w:numId w:val="6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风险监控</w:t>
      </w:r>
      <w:r>
        <w:rPr>
          <w:rFonts w:hint="eastAsia" w:ascii="宋体" w:hAnsi="宋体" w:eastAsia="宋体" w:cs="宋体"/>
          <w:sz w:val="24"/>
          <w:szCs w:val="32"/>
        </w:rPr>
        <w:t>：每周更新风险登记册，制定应对措施</w:t>
      </w:r>
    </w:p>
    <w:p w14:paraId="010FB9B7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预期效益分析</w:t>
      </w:r>
    </w:p>
    <w:p w14:paraId="2A1DE62A">
      <w:pPr>
        <w:numPr>
          <w:ilvl w:val="0"/>
          <w:numId w:val="7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进度可控性</w:t>
      </w:r>
      <w:r>
        <w:rPr>
          <w:rFonts w:hint="eastAsia" w:ascii="宋体" w:hAnsi="宋体" w:eastAsia="宋体" w:cs="宋体"/>
          <w:sz w:val="24"/>
          <w:szCs w:val="32"/>
        </w:rPr>
        <w:t>：阶段完成率可量化跟踪，偏差控制在±5%内</w:t>
      </w:r>
    </w:p>
    <w:p w14:paraId="1A3F5908">
      <w:pPr>
        <w:numPr>
          <w:ilvl w:val="0"/>
          <w:numId w:val="7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成本透明度</w:t>
      </w:r>
      <w:r>
        <w:rPr>
          <w:rFonts w:hint="eastAsia" w:ascii="宋体" w:hAnsi="宋体" w:eastAsia="宋体" w:cs="宋体"/>
          <w:sz w:val="24"/>
          <w:szCs w:val="32"/>
        </w:rPr>
        <w:t>：预算分解到各阶段，支出可视化</w:t>
      </w:r>
    </w:p>
    <w:p w14:paraId="29729878">
      <w:pPr>
        <w:numPr>
          <w:ilvl w:val="0"/>
          <w:numId w:val="7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质量可保障</w:t>
      </w:r>
      <w:r>
        <w:rPr>
          <w:rFonts w:hint="eastAsia" w:ascii="宋体" w:hAnsi="宋体" w:eastAsia="宋体" w:cs="宋体"/>
          <w:sz w:val="24"/>
          <w:szCs w:val="32"/>
        </w:rPr>
        <w:t>：通过阶段评审提前发现并解决问题</w:t>
      </w:r>
    </w:p>
    <w:p w14:paraId="2E4CAC85">
      <w:pPr>
        <w:numPr>
          <w:ilvl w:val="0"/>
          <w:numId w:val="7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文档完整性</w:t>
      </w:r>
      <w:r>
        <w:rPr>
          <w:rFonts w:hint="eastAsia" w:ascii="宋体" w:hAnsi="宋体" w:eastAsia="宋体" w:cs="宋体"/>
          <w:sz w:val="24"/>
          <w:szCs w:val="32"/>
        </w:rPr>
        <w:t>：产出完整的技术与用户文档体系</w:t>
      </w:r>
    </w:p>
    <w:p w14:paraId="1651A60C">
      <w:pPr>
        <w:pStyle w:val="3"/>
        <w:numPr>
          <w:numId w:val="0"/>
        </w:numPr>
        <w:spacing w:line="360" w:lineRule="auto"/>
        <w:ind w:right="0" w:rightChars="0"/>
        <w:rPr>
          <w:rFonts w:hint="eastAsia" w:ascii="宋体" w:hAnsi="宋体" w:eastAsia="宋体" w:cs="宋体"/>
        </w:rPr>
      </w:pPr>
    </w:p>
    <w:p w14:paraId="3D153095">
      <w:pPr>
        <w:pStyle w:val="3"/>
        <w:numPr>
          <w:numId w:val="0"/>
        </w:numPr>
        <w:spacing w:line="360" w:lineRule="auto"/>
        <w:ind w:right="0" w:righ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执行保障措施</w:t>
      </w:r>
    </w:p>
    <w:p w14:paraId="38276F44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组织保障</w:t>
      </w:r>
    </w:p>
    <w:p w14:paraId="606D6856">
      <w:pPr>
        <w:numPr>
          <w:ilvl w:val="0"/>
          <w:numId w:val="8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成立项目指导委员会，每月听取项目汇报</w:t>
      </w:r>
    </w:p>
    <w:p w14:paraId="23E28121">
      <w:pPr>
        <w:numPr>
          <w:ilvl w:val="0"/>
          <w:numId w:val="8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明确各角色职责与授权范围</w:t>
      </w:r>
    </w:p>
    <w:p w14:paraId="2636EF03">
      <w:pPr>
        <w:numPr>
          <w:ilvl w:val="0"/>
          <w:numId w:val="8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建立跨部门协调机制</w:t>
      </w:r>
    </w:p>
    <w:p w14:paraId="4E8B0D0F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过程保障</w:t>
      </w:r>
    </w:p>
    <w:p w14:paraId="03BE517C">
      <w:pPr>
        <w:numPr>
          <w:ilvl w:val="0"/>
          <w:numId w:val="9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采用专业的项目管理工具进行进度跟踪</w:t>
      </w:r>
    </w:p>
    <w:p w14:paraId="27346416">
      <w:pPr>
        <w:numPr>
          <w:ilvl w:val="0"/>
          <w:numId w:val="9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实施周报、月报相结合的沟通机制</w:t>
      </w:r>
    </w:p>
    <w:p w14:paraId="752811FE">
      <w:pPr>
        <w:numPr>
          <w:ilvl w:val="0"/>
          <w:numId w:val="9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建立知识库，沉淀项目过程资产</w:t>
      </w:r>
    </w:p>
    <w:p w14:paraId="75EB0988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风险预案</w:t>
      </w:r>
    </w:p>
    <w:p w14:paraId="0658738E">
      <w:pPr>
        <w:numPr>
          <w:ilvl w:val="0"/>
          <w:numId w:val="10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识别3项关键风险并制定应对策略</w:t>
      </w:r>
    </w:p>
    <w:p w14:paraId="35178F3B">
      <w:pPr>
        <w:numPr>
          <w:ilvl w:val="0"/>
          <w:numId w:val="10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预留5%的应急储备金</w:t>
      </w:r>
    </w:p>
    <w:p w14:paraId="6ADFC86F">
      <w:pPr>
        <w:numPr>
          <w:ilvl w:val="0"/>
          <w:numId w:val="10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建立技术备选方案机制</w:t>
      </w:r>
    </w:p>
    <w:p w14:paraId="09267508">
      <w:pPr>
        <w:pStyle w:val="3"/>
        <w:numPr>
          <w:numId w:val="0"/>
        </w:numPr>
        <w:spacing w:line="360" w:lineRule="auto"/>
        <w:ind w:right="0" w:rightChars="0"/>
        <w:rPr>
          <w:rFonts w:hint="eastAsia" w:ascii="宋体" w:hAnsi="宋体" w:eastAsia="宋体" w:cs="宋体"/>
        </w:rPr>
      </w:pPr>
    </w:p>
    <w:p w14:paraId="634432BB">
      <w:pPr>
        <w:pStyle w:val="3"/>
        <w:numPr>
          <w:numId w:val="0"/>
        </w:numPr>
        <w:spacing w:line="360" w:lineRule="auto"/>
        <w:ind w:right="0" w:righ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结论</w:t>
      </w:r>
    </w:p>
    <w:p w14:paraId="48593F75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基于对项目特性的系统分析、开发模式的科学评估以及实施约束的综合考量，本项目</w:t>
      </w:r>
      <w:r>
        <w:rPr>
          <w:rFonts w:hint="eastAsia" w:ascii="宋体" w:hAnsi="宋体" w:eastAsia="宋体" w:cs="宋体"/>
          <w:b/>
          <w:sz w:val="24"/>
          <w:szCs w:val="32"/>
        </w:rPr>
        <w:t>正式确定采用瀑布模型作为开发模式</w:t>
      </w:r>
      <w:r>
        <w:rPr>
          <w:rFonts w:hint="eastAsia" w:ascii="宋体" w:hAnsi="宋体" w:eastAsia="宋体" w:cs="宋体"/>
          <w:sz w:val="24"/>
          <w:szCs w:val="32"/>
        </w:rPr>
        <w:t>。该决策具备以下支撑：</w:t>
      </w:r>
    </w:p>
    <w:p w14:paraId="6A6DD670">
      <w:pPr>
        <w:numPr>
          <w:ilvl w:val="0"/>
          <w:numId w:val="1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理论支撑</w:t>
      </w:r>
      <w:r>
        <w:rPr>
          <w:rFonts w:hint="eastAsia" w:ascii="宋体" w:hAnsi="宋体" w:eastAsia="宋体" w:cs="宋体"/>
          <w:sz w:val="24"/>
          <w:szCs w:val="32"/>
        </w:rPr>
        <w:t>：符合瀑布模型的适用条件与前提假设</w:t>
      </w:r>
    </w:p>
    <w:p w14:paraId="3BA3AAEA">
      <w:pPr>
        <w:numPr>
          <w:ilvl w:val="0"/>
          <w:numId w:val="1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数据支撑</w:t>
      </w:r>
      <w:r>
        <w:rPr>
          <w:rFonts w:hint="eastAsia" w:ascii="宋体" w:hAnsi="宋体" w:eastAsia="宋体" w:cs="宋体"/>
          <w:sz w:val="24"/>
          <w:szCs w:val="32"/>
        </w:rPr>
        <w:t>：量化评估显示瀑布模型综合得分高于敏捷开发38%</w:t>
      </w:r>
    </w:p>
    <w:p w14:paraId="4B9192DA">
      <w:pPr>
        <w:numPr>
          <w:ilvl w:val="0"/>
          <w:numId w:val="1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实践支撑</w:t>
      </w:r>
      <w:r>
        <w:rPr>
          <w:rFonts w:hint="eastAsia" w:ascii="宋体" w:hAnsi="宋体" w:eastAsia="宋体" w:cs="宋体"/>
          <w:sz w:val="24"/>
          <w:szCs w:val="32"/>
        </w:rPr>
        <w:t>：团队在该模式下的历史项目成功率达92%</w:t>
      </w:r>
    </w:p>
    <w:p w14:paraId="642B389D">
      <w:pPr>
        <w:numPr>
          <w:ilvl w:val="0"/>
          <w:numId w:val="1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客户支撑</w:t>
      </w:r>
      <w:r>
        <w:rPr>
          <w:rFonts w:hint="eastAsia" w:ascii="宋体" w:hAnsi="宋体" w:eastAsia="宋体" w:cs="宋体"/>
          <w:sz w:val="24"/>
          <w:szCs w:val="32"/>
        </w:rPr>
        <w:t>：客户认同该模式的管理理念与参与方式</w:t>
      </w:r>
    </w:p>
    <w:p w14:paraId="5C4C1DFD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本决策自批准之日起生效，项目所有相关活动均需遵循瀑布模型的流程规范与管理要求。</w:t>
      </w:r>
    </w:p>
    <w:p w14:paraId="34A0D09A">
      <w:pPr>
        <w:spacing w:line="360" w:lineRule="auto"/>
        <w:rPr>
          <w:rFonts w:hint="eastAsia" w:ascii="宋体" w:hAnsi="宋体" w:eastAsia="宋体" w:cs="宋体"/>
          <w:b/>
        </w:rPr>
      </w:pPr>
    </w:p>
    <w:p w14:paraId="382FD1F5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文档控制信息</w:t>
      </w:r>
    </w:p>
    <w:p w14:paraId="1C1C5112">
      <w:pPr>
        <w:numPr>
          <w:ilvl w:val="0"/>
          <w:numId w:val="1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分发范围：项目全体成员、客户项目管理团队</w:t>
      </w:r>
    </w:p>
    <w:p w14:paraId="202CA77E">
      <w:pPr>
        <w:numPr>
          <w:ilvl w:val="0"/>
          <w:numId w:val="1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修订记录：V1.0</w:t>
      </w:r>
    </w:p>
    <w:p w14:paraId="12C80A7B">
      <w:pPr>
        <w:numPr>
          <w:ilvl w:val="0"/>
          <w:numId w:val="1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下次评审日期：202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年1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22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F9E71"/>
    <w:multiLevelType w:val="singleLevel"/>
    <w:tmpl w:val="91CF9E7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ADEEA7F"/>
    <w:multiLevelType w:val="singleLevel"/>
    <w:tmpl w:val="AADEEA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C1B2FB7"/>
    <w:multiLevelType w:val="singleLevel"/>
    <w:tmpl w:val="AC1B2F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6823827"/>
    <w:multiLevelType w:val="singleLevel"/>
    <w:tmpl w:val="B68238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DC6D0F00"/>
    <w:multiLevelType w:val="singleLevel"/>
    <w:tmpl w:val="DC6D0F0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FEAF8D5E"/>
    <w:multiLevelType w:val="singleLevel"/>
    <w:tmpl w:val="FEAF8D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020EA9E7"/>
    <w:multiLevelType w:val="multilevel"/>
    <w:tmpl w:val="020EA9E7"/>
    <w:lvl w:ilvl="0" w:tentative="0">
      <w:start w:val="1"/>
      <w:numFmt w:val="decimal"/>
      <w:lvlText w:val="%1"/>
      <w:lvlJc w:val="left"/>
      <w:pPr>
        <w:ind w:left="0" w:firstLine="0"/>
      </w:pPr>
    </w:lvl>
    <w:lvl w:ilvl="1" w:tentative="0">
      <w:start w:val="1"/>
      <w:numFmt w:val="decimal"/>
      <w:pStyle w:val="3"/>
      <w:lvlText w:val="%1.%2"/>
      <w:lvlJc w:val="left"/>
      <w:pPr>
        <w:ind w:left="141" w:firstLine="0"/>
      </w:pPr>
    </w:lvl>
    <w:lvl w:ilvl="2" w:tentative="0">
      <w:start w:val="1"/>
      <w:numFmt w:val="decimal"/>
      <w:lvlText w:val="%1.%2.%3"/>
      <w:lvlJc w:val="left"/>
      <w:pPr>
        <w:ind w:left="0" w:firstLine="0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5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1738BC32"/>
    <w:multiLevelType w:val="singleLevel"/>
    <w:tmpl w:val="1738BC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1AF48511"/>
    <w:multiLevelType w:val="singleLevel"/>
    <w:tmpl w:val="1AF4851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50ABD744"/>
    <w:multiLevelType w:val="singleLevel"/>
    <w:tmpl w:val="50ABD7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54CACF9C"/>
    <w:multiLevelType w:val="singleLevel"/>
    <w:tmpl w:val="54CACF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563B18EA"/>
    <w:multiLevelType w:val="singleLevel"/>
    <w:tmpl w:val="563B18E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10"/>
  </w:num>
  <w:num w:numId="9">
    <w:abstractNumId w:val="2"/>
  </w:num>
  <w:num w:numId="10">
    <w:abstractNumId w:val="3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617209"/>
    <w:rsid w:val="06617209"/>
    <w:rsid w:val="07672E32"/>
    <w:rsid w:val="25B52166"/>
    <w:rsid w:val="26A16953"/>
    <w:rsid w:val="391A244F"/>
    <w:rsid w:val="425E25A2"/>
    <w:rsid w:val="47AA0E1C"/>
    <w:rsid w:val="6904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widowControl w:val="0"/>
      <w:numPr>
        <w:ilvl w:val="1"/>
        <w:numId w:val="1"/>
      </w:numPr>
      <w:suppressLineNumbers w:val="0"/>
      <w:spacing w:before="0" w:beforeAutospacing="0" w:after="0" w:afterAutospacing="0"/>
      <w:ind w:left="142" w:right="0" w:firstLine="0"/>
      <w:jc w:val="both"/>
      <w:outlineLvl w:val="1"/>
    </w:pPr>
    <w:rPr>
      <w:rFonts w:hint="default" w:ascii="Calibri Light" w:hAnsi="Calibri Light" w:eastAsia="Calibri Light" w:cs="Times New Roman"/>
      <w:b/>
      <w:bCs/>
      <w:kern w:val="2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2025-12-21T12:24:00Z</dcterms:created>
  <dc:creator>lyf</dc:creator>
  <cp:lastModifiedBy>lyf</cp:lastModifiedBy>
  <dcterms:modified xsi:type="dcterms:W3CDTF">2025-12-21T13:34:10Z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7FEFBD630B434ADDB8741CF4519F9F0E_11</vt:lpwstr>
  </property>
  <property fmtid="{D5CDD505-2E9C-101B-9397-08002B2CF9AE}" pid="4" name="KSOTemplateDocerSaveRecord">
    <vt:lpwstr>eyJoZGlkIjoiZTM3MzljMjA2ZmQyZTZhNzI0Yzk1NzlmYTk4NTQ1NDgiLCJ1c2VySWQiOiI2OTU1MzI4MTcifQ==</vt:lpwstr>
  </property>
</Properties>
</file>