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Первая медицинская помощь при электротравме на рабочем месте программиста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и неотложная помощь при поражении электрическим током.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[3].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 [2].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[4].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 [1].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[3].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