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Прикладное программное обеспечение информационно-вычислительной системы предприятия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Текстовые редакторы: Evernote, Заметки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Текстовые процессоры: Microsoft Word, Pages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Электронные таблицы: Microsoft Excel, Numbers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Графические редакторы: Adobe Photoshop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Веб-браузер: Google Chrome, Firefox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Программы для просмотра: Adobe Reader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Серверные СУБД: mySQL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Видеоредакторы: Adobe Premiere Pro, iMovie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