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4607122"/>
        <w:docPartObj>
          <w:docPartGallery w:val="Cover Pages"/>
          <w:docPartUnique/>
        </w:docPartObj>
      </w:sdtPr>
      <w:sdtContent>
        <w:p w14:paraId="4735412C" w14:textId="0B1FD7FB" w:rsidR="00FF6B4A" w:rsidRDefault="00FF6B4A">
          <w:r>
            <w:rPr>
              <w:noProof/>
            </w:rPr>
            <mc:AlternateContent>
              <mc:Choice Requires="wpg">
                <w:drawing>
                  <wp:anchor distT="0" distB="0" distL="114300" distR="114300" simplePos="0" relativeHeight="251659264" behindDoc="1" locked="0" layoutInCell="1" allowOverlap="1" wp14:anchorId="611215B7" wp14:editId="0DD7FA6E">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09A2F6" w14:textId="7C9E9838" w:rsidR="00FF6B4A" w:rsidRDefault="00FF6B4A">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8BD7BED" w14:textId="5828F8A7" w:rsidR="00FF6B4A" w:rsidRDefault="00FF6B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4D378B" w14:textId="232A030D" w:rsidR="00FF6B4A" w:rsidRDefault="00FF6B4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Basel iii Regulation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1215B7"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C09A2F6" w14:textId="7C9E9838" w:rsidR="00FF6B4A" w:rsidRDefault="00FF6B4A">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8BD7BED" w14:textId="5828F8A7" w:rsidR="00FF6B4A" w:rsidRDefault="00FF6B4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4D378B" w14:textId="232A030D" w:rsidR="00FF6B4A" w:rsidRDefault="00FF6B4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Basel iii Regulation</w:t>
                                </w:r>
                              </w:p>
                            </w:sdtContent>
                          </w:sdt>
                        </w:txbxContent>
                      </v:textbox>
                    </v:shape>
                    <w10:wrap anchorx="page" anchory="page"/>
                  </v:group>
                </w:pict>
              </mc:Fallback>
            </mc:AlternateContent>
          </w:r>
        </w:p>
        <w:p w14:paraId="070C94EB" w14:textId="31AF057C" w:rsidR="00FF6B4A" w:rsidRDefault="00FF6B4A">
          <w:r>
            <w:br w:type="page"/>
          </w:r>
        </w:p>
      </w:sdtContent>
    </w:sdt>
    <w:p w14:paraId="7D263A95" w14:textId="77777777" w:rsidR="00FF6B4A" w:rsidRDefault="00FF6B4A" w:rsidP="00FF6B4A">
      <w:pPr>
        <w:rPr>
          <w:b/>
          <w:bCs/>
          <w:sz w:val="32"/>
          <w:szCs w:val="32"/>
        </w:rPr>
      </w:pPr>
      <w:r>
        <w:rPr>
          <w:b/>
          <w:bCs/>
          <w:sz w:val="32"/>
          <w:szCs w:val="32"/>
        </w:rPr>
        <w:lastRenderedPageBreak/>
        <w:t>Introduction:</w:t>
      </w:r>
    </w:p>
    <w:p w14:paraId="3EA26DAD" w14:textId="77777777" w:rsidR="00FF6B4A" w:rsidRDefault="00FF6B4A" w:rsidP="00FF6B4A">
      <w:r>
        <w:t>Basel III, implemented in 2010, is a critical international regulatory framework aiming at improving the stability and resilience of the global banking industry. It was developed in response to lessons gained from the 2008 financial crisis and imposes strict capital, liquidity, and leverage rules on banks throughout the world. Key regulatory authorities in the United States supervise Basel III criteria, including the Federal Reserve, the Office of the Comptroller of the Currency (OCC), and the Federal Deposit Insurance Corporation (FDIC). These policies are intended to protect banks from economic and financial shocks, creating a safer financial environment and increasing investor and depositor trust.</w:t>
      </w:r>
    </w:p>
    <w:p w14:paraId="78564FF3" w14:textId="77777777" w:rsidR="00FF6B4A" w:rsidRDefault="00FF6B4A" w:rsidP="00FF6B4A">
      <w:pPr>
        <w:rPr>
          <w:b/>
          <w:bCs/>
          <w:sz w:val="32"/>
          <w:szCs w:val="32"/>
        </w:rPr>
      </w:pPr>
      <w:r>
        <w:rPr>
          <w:b/>
          <w:bCs/>
          <w:sz w:val="32"/>
          <w:szCs w:val="32"/>
        </w:rPr>
        <w:t>History:</w:t>
      </w:r>
    </w:p>
    <w:p w14:paraId="22460FC5" w14:textId="77777777" w:rsidR="00FF6B4A" w:rsidRDefault="00FF6B4A" w:rsidP="00FF6B4A">
      <w:r>
        <w:t>Basel III was developed in response to the risks identified during the 2008 global financial crisis. The framework expands on its predecessors, Basel I and Basel II, by imposing stricter criteria on capital adequacy, liquidity management, and leverage ratios. Its deployment timetable began in 2010 with a staged manner and was initially slated to end in 2019. However, due to the laws' complexity and extensive impact, complete adoption has been prolonged and altered several times to address issues and assure successful implementation by national regulators throughout the world.</w:t>
      </w:r>
    </w:p>
    <w:p w14:paraId="74D7C105" w14:textId="77777777" w:rsidR="00FF6B4A" w:rsidRDefault="00FF6B4A" w:rsidP="00FF6B4A">
      <w:pPr>
        <w:rPr>
          <w:rFonts w:cs="Times New Roman (Body CS)"/>
          <w:b/>
          <w:sz w:val="32"/>
        </w:rPr>
      </w:pPr>
      <w:r w:rsidRPr="008D59B4">
        <w:rPr>
          <w:rFonts w:cs="Times New Roman (Body CS)"/>
          <w:b/>
          <w:sz w:val="32"/>
        </w:rPr>
        <w:t>Provisions:</w:t>
      </w:r>
    </w:p>
    <w:p w14:paraId="1414CF76" w14:textId="77777777" w:rsidR="00FF6B4A" w:rsidRPr="008D59B4" w:rsidRDefault="00FF6B4A" w:rsidP="00FF6B4A">
      <w:pPr>
        <w:rPr>
          <w:b/>
          <w:bCs/>
          <w:sz w:val="28"/>
          <w:szCs w:val="28"/>
        </w:rPr>
      </w:pPr>
      <w:r w:rsidRPr="008D59B4">
        <w:rPr>
          <w:b/>
          <w:bCs/>
          <w:sz w:val="28"/>
          <w:szCs w:val="28"/>
        </w:rPr>
        <w:t>Capital requirements:</w:t>
      </w:r>
    </w:p>
    <w:p w14:paraId="7D6791E5" w14:textId="77777777" w:rsidR="00FF6B4A" w:rsidRDefault="00FF6B4A" w:rsidP="00FF6B4A">
      <w:pPr>
        <w:pStyle w:val="ListParagraph"/>
        <w:numPr>
          <w:ilvl w:val="0"/>
          <w:numId w:val="1"/>
        </w:numPr>
      </w:pPr>
      <w:r w:rsidRPr="008D59B4">
        <w:rPr>
          <w:b/>
          <w:bCs/>
        </w:rPr>
        <w:t>Minimum Common Equity Tier 1 (CET1) Capital:</w:t>
      </w:r>
      <w:r>
        <w:t xml:space="preserve"> Raised to 4.5% of risk-weighted assets.</w:t>
      </w:r>
      <w:r>
        <w:br/>
      </w:r>
    </w:p>
    <w:p w14:paraId="0954E898" w14:textId="77777777" w:rsidR="00FF6B4A" w:rsidRDefault="00FF6B4A" w:rsidP="00FF6B4A">
      <w:pPr>
        <w:pStyle w:val="ListParagraph"/>
        <w:numPr>
          <w:ilvl w:val="0"/>
          <w:numId w:val="1"/>
        </w:numPr>
      </w:pPr>
      <w:r w:rsidRPr="008D59B4">
        <w:rPr>
          <w:b/>
          <w:bCs/>
        </w:rPr>
        <w:t>Tier 1 Capital Requirement:</w:t>
      </w:r>
      <w:r>
        <w:t xml:space="preserve"> Set to 6% of RWAs.</w:t>
      </w:r>
      <w:r>
        <w:br/>
      </w:r>
    </w:p>
    <w:p w14:paraId="196BC000" w14:textId="77777777" w:rsidR="00FF6B4A" w:rsidRDefault="00FF6B4A" w:rsidP="00FF6B4A">
      <w:pPr>
        <w:pStyle w:val="ListParagraph"/>
        <w:numPr>
          <w:ilvl w:val="0"/>
          <w:numId w:val="1"/>
        </w:numPr>
      </w:pPr>
      <w:r w:rsidRPr="008D59B4">
        <w:rPr>
          <w:b/>
          <w:bCs/>
        </w:rPr>
        <w:t>Total Capital Requirement:</w:t>
      </w:r>
      <w:r>
        <w:t xml:space="preserve"> Tier 1 and Tier 2 capital requirements are set at 8% of RWAs.</w:t>
      </w:r>
      <w:r>
        <w:br/>
      </w:r>
    </w:p>
    <w:p w14:paraId="55B17CFE" w14:textId="77777777" w:rsidR="00FF6B4A" w:rsidRDefault="00FF6B4A" w:rsidP="00FF6B4A">
      <w:pPr>
        <w:pStyle w:val="ListParagraph"/>
        <w:numPr>
          <w:ilvl w:val="0"/>
          <w:numId w:val="1"/>
        </w:numPr>
      </w:pPr>
      <w:r w:rsidRPr="008D59B4">
        <w:rPr>
          <w:b/>
          <w:bCs/>
        </w:rPr>
        <w:t>Capital Conservation Buffer:</w:t>
      </w:r>
      <w:r>
        <w:t xml:space="preserve"> Introduced for 2.5% of RWAs, raising the overall required CET1 capital to 7%.</w:t>
      </w:r>
      <w:r>
        <w:br/>
      </w:r>
    </w:p>
    <w:p w14:paraId="1514F092" w14:textId="77777777" w:rsidR="00FF6B4A" w:rsidRDefault="00FF6B4A" w:rsidP="00FF6B4A">
      <w:pPr>
        <w:pStyle w:val="ListParagraph"/>
        <w:numPr>
          <w:ilvl w:val="0"/>
          <w:numId w:val="1"/>
        </w:numPr>
      </w:pPr>
      <w:r w:rsidRPr="008D59B4">
        <w:rPr>
          <w:b/>
          <w:bCs/>
        </w:rPr>
        <w:t>Countercyclical Buffer:</w:t>
      </w:r>
      <w:r>
        <w:t xml:space="preserve"> National regulators will apply a buffer ranging from 0-2.5% of RWAs depending on economic conditions.</w:t>
      </w:r>
    </w:p>
    <w:p w14:paraId="5F5DD1C7" w14:textId="77777777" w:rsidR="00FF6B4A" w:rsidRDefault="00FF6B4A" w:rsidP="00FF6B4A">
      <w:pPr>
        <w:ind w:left="360"/>
      </w:pPr>
    </w:p>
    <w:p w14:paraId="2D4596BC" w14:textId="77777777" w:rsidR="00FF6B4A" w:rsidRDefault="00FF6B4A" w:rsidP="00FF6B4A">
      <w:r w:rsidRPr="008D59B4">
        <w:rPr>
          <w:b/>
          <w:bCs/>
          <w:sz w:val="28"/>
          <w:szCs w:val="28"/>
        </w:rPr>
        <w:t>Leverage Ratio:</w:t>
      </w:r>
      <w:r w:rsidRPr="008D59B4">
        <w:rPr>
          <w:sz w:val="28"/>
          <w:szCs w:val="28"/>
        </w:rPr>
        <w:t> </w:t>
      </w:r>
    </w:p>
    <w:p w14:paraId="61B48329" w14:textId="77777777" w:rsidR="00FF6B4A" w:rsidRDefault="00FF6B4A" w:rsidP="00FF6B4A">
      <w:pPr>
        <w:pStyle w:val="ListParagraph"/>
        <w:numPr>
          <w:ilvl w:val="0"/>
          <w:numId w:val="2"/>
        </w:numPr>
      </w:pPr>
      <w:r w:rsidRPr="008D59B4">
        <w:rPr>
          <w:b/>
          <w:bCs/>
        </w:rPr>
        <w:lastRenderedPageBreak/>
        <w:t>Non-risk-based Leverage Ratio:</w:t>
      </w:r>
      <w:r>
        <w:t xml:space="preserve"> A minimum of 3%, calculated as Tier 1 capital divided by average total consolidated assets, limits excessive leverage in the banking sector.</w:t>
      </w:r>
    </w:p>
    <w:p w14:paraId="6518A611" w14:textId="77777777" w:rsidR="00FF6B4A" w:rsidRDefault="00FF6B4A" w:rsidP="00FF6B4A">
      <w:pPr>
        <w:rPr>
          <w:b/>
          <w:bCs/>
          <w:sz w:val="28"/>
          <w:szCs w:val="28"/>
        </w:rPr>
      </w:pPr>
      <w:r w:rsidRPr="008D59B4">
        <w:rPr>
          <w:b/>
          <w:bCs/>
          <w:sz w:val="28"/>
          <w:szCs w:val="28"/>
        </w:rPr>
        <w:t>Liquidity requirements:</w:t>
      </w:r>
    </w:p>
    <w:p w14:paraId="7DA7C2C6" w14:textId="77777777" w:rsidR="00FF6B4A" w:rsidRPr="008D59B4" w:rsidRDefault="00FF6B4A" w:rsidP="00FF6B4A">
      <w:pPr>
        <w:pStyle w:val="ListParagraph"/>
        <w:numPr>
          <w:ilvl w:val="0"/>
          <w:numId w:val="3"/>
        </w:numPr>
        <w:rPr>
          <w:b/>
          <w:bCs/>
        </w:rPr>
      </w:pPr>
      <w:r w:rsidRPr="008D59B4">
        <w:rPr>
          <w:b/>
          <w:bCs/>
        </w:rPr>
        <w:t>Liquidity Coverage Ratio (LCR):</w:t>
      </w:r>
      <w:r>
        <w:t xml:space="preserve"> Requires banks to maintain high-quality liquid assets (HQLA) adequate to cover 30 days of net cash outflows during stressful times. The minimum LCR requirement is 100%.</w:t>
      </w:r>
      <w:r>
        <w:br/>
      </w:r>
    </w:p>
    <w:p w14:paraId="27E815A6" w14:textId="77777777" w:rsidR="00FF6B4A" w:rsidRPr="008D59B4" w:rsidRDefault="00FF6B4A" w:rsidP="00FF6B4A">
      <w:pPr>
        <w:pStyle w:val="ListParagraph"/>
        <w:numPr>
          <w:ilvl w:val="0"/>
          <w:numId w:val="3"/>
        </w:numPr>
        <w:rPr>
          <w:b/>
          <w:bCs/>
          <w:sz w:val="28"/>
          <w:szCs w:val="28"/>
        </w:rPr>
      </w:pPr>
      <w:r w:rsidRPr="008D59B4">
        <w:rPr>
          <w:b/>
          <w:bCs/>
        </w:rPr>
        <w:t>Net steady financing Ratio (NSFR):</w:t>
      </w:r>
      <w:r>
        <w:t xml:space="preserve"> Ensures banks maintain a steady financing profile based on asset composition and off-balance-sheet operations over a one-year period. The minimum NSFR criterion is 100 percent.</w:t>
      </w:r>
    </w:p>
    <w:p w14:paraId="0D93548E" w14:textId="77777777" w:rsidR="00FF6B4A" w:rsidRDefault="00FF6B4A" w:rsidP="00FF6B4A">
      <w:pPr>
        <w:rPr>
          <w:b/>
          <w:bCs/>
          <w:sz w:val="32"/>
          <w:szCs w:val="32"/>
        </w:rPr>
      </w:pPr>
      <w:r w:rsidRPr="008D59B4">
        <w:rPr>
          <w:b/>
          <w:bCs/>
          <w:sz w:val="32"/>
          <w:szCs w:val="32"/>
        </w:rPr>
        <w:t>Impact &amp; Statistics:</w:t>
      </w:r>
    </w:p>
    <w:p w14:paraId="681F777E" w14:textId="77777777" w:rsidR="00FF6B4A" w:rsidRDefault="00FF6B4A" w:rsidP="00FF6B4A">
      <w:pPr>
        <w:pStyle w:val="ListParagraph"/>
        <w:numPr>
          <w:ilvl w:val="0"/>
          <w:numId w:val="4"/>
        </w:numPr>
      </w:pPr>
      <w:r w:rsidRPr="008D59B4">
        <w:rPr>
          <w:b/>
          <w:bCs/>
        </w:rPr>
        <w:t>Capital Adequacy:</w:t>
      </w:r>
      <w:r>
        <w:t xml:space="preserve"> Following the introduction of Basel III, US banks dramatically increased their capital positions. For example, the average CET1 ratio for big U.S. banks rose from around 7% in 2009 to more over 12% in 2020.</w:t>
      </w:r>
    </w:p>
    <w:p w14:paraId="1A38078D" w14:textId="77777777" w:rsidR="00FF6B4A" w:rsidRDefault="00FF6B4A" w:rsidP="00FF6B4A">
      <w:pPr>
        <w:pStyle w:val="ListParagraph"/>
      </w:pPr>
      <w:r>
        <w:rPr>
          <w:noProof/>
        </w:rPr>
        <w:drawing>
          <wp:inline distT="0" distB="0" distL="0" distR="0" wp14:anchorId="0481705E" wp14:editId="754708BB">
            <wp:extent cx="5731510" cy="3415665"/>
            <wp:effectExtent l="0" t="0" r="0" b="635"/>
            <wp:docPr id="32012345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23457" name="Picture 1" descr="A graph with a line going u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r>
        <w:br/>
      </w:r>
    </w:p>
    <w:p w14:paraId="7286597A" w14:textId="77777777" w:rsidR="00FF6B4A" w:rsidRDefault="00FF6B4A" w:rsidP="00FF6B4A">
      <w:pPr>
        <w:pStyle w:val="ListParagraph"/>
        <w:numPr>
          <w:ilvl w:val="0"/>
          <w:numId w:val="4"/>
        </w:numPr>
      </w:pPr>
      <w:r w:rsidRPr="008D59B4">
        <w:rPr>
          <w:b/>
          <w:bCs/>
        </w:rPr>
        <w:t>Liquidity Management:</w:t>
      </w:r>
      <w:r>
        <w:t xml:space="preserve"> The implementation of LCR and NSFR has improved US banks' capacity to endure short-term liquidity problems. As of 2020, major US banks reported LCR ratios that over 100%, showing strong liquidity balances.</w:t>
      </w:r>
    </w:p>
    <w:p w14:paraId="2723926F" w14:textId="77777777" w:rsidR="00FF6B4A" w:rsidRDefault="00FF6B4A" w:rsidP="00FF6B4A">
      <w:pPr>
        <w:pStyle w:val="ListParagraph"/>
        <w:numPr>
          <w:ilvl w:val="0"/>
          <w:numId w:val="4"/>
        </w:numPr>
      </w:pPr>
      <w:r w:rsidRPr="008D59B4">
        <w:rPr>
          <w:b/>
          <w:bCs/>
        </w:rPr>
        <w:t>Leverage Reduction:</w:t>
      </w:r>
      <w:r>
        <w:t xml:space="preserve"> Basel III's leverage ratio effectively limits the buildup of leverage in the banking industry, lowering the danger of insolvency during financial downturns.</w:t>
      </w:r>
    </w:p>
    <w:p w14:paraId="1AB58292" w14:textId="77777777" w:rsidR="00FF6B4A" w:rsidRDefault="00FF6B4A" w:rsidP="00FF6B4A">
      <w:r w:rsidRPr="001971C5">
        <w:rPr>
          <w:b/>
          <w:bCs/>
          <w:sz w:val="32"/>
          <w:szCs w:val="32"/>
        </w:rPr>
        <w:lastRenderedPageBreak/>
        <w:t>Challenges and Criticism</w:t>
      </w:r>
      <w:r>
        <w:rPr>
          <w:b/>
          <w:bCs/>
          <w:sz w:val="32"/>
          <w:szCs w:val="32"/>
        </w:rPr>
        <w:t>:</w:t>
      </w:r>
      <w:r>
        <w:br/>
      </w:r>
      <w:r w:rsidRPr="001971C5">
        <w:rPr>
          <w:b/>
          <w:bCs/>
          <w:sz w:val="28"/>
          <w:szCs w:val="28"/>
        </w:rPr>
        <w:t>Challenges</w:t>
      </w:r>
      <w:r>
        <w:t>:</w:t>
      </w:r>
    </w:p>
    <w:p w14:paraId="405ED123" w14:textId="77777777" w:rsidR="00FF6B4A" w:rsidRPr="001971C5" w:rsidRDefault="00FF6B4A" w:rsidP="00FF6B4A">
      <w:pPr>
        <w:pStyle w:val="ListParagraph"/>
        <w:numPr>
          <w:ilvl w:val="0"/>
          <w:numId w:val="5"/>
        </w:numPr>
        <w:rPr>
          <w:b/>
          <w:bCs/>
          <w:sz w:val="32"/>
          <w:szCs w:val="32"/>
        </w:rPr>
      </w:pPr>
      <w:r>
        <w:t>Significant expenses involved with updating systems and procedures to meet new regulatory requirements.</w:t>
      </w:r>
    </w:p>
    <w:p w14:paraId="108A0B1A" w14:textId="77777777" w:rsidR="00FF6B4A" w:rsidRPr="001971C5" w:rsidRDefault="00FF6B4A" w:rsidP="00FF6B4A">
      <w:pPr>
        <w:pStyle w:val="ListParagraph"/>
        <w:rPr>
          <w:b/>
          <w:bCs/>
          <w:sz w:val="32"/>
          <w:szCs w:val="32"/>
        </w:rPr>
      </w:pPr>
    </w:p>
    <w:p w14:paraId="1AD8A0B1" w14:textId="77777777" w:rsidR="00FF6B4A" w:rsidRPr="001971C5" w:rsidRDefault="00FF6B4A" w:rsidP="00FF6B4A">
      <w:pPr>
        <w:pStyle w:val="ListParagraph"/>
        <w:numPr>
          <w:ilvl w:val="0"/>
          <w:numId w:val="5"/>
        </w:numPr>
        <w:rPr>
          <w:b/>
          <w:bCs/>
          <w:sz w:val="32"/>
          <w:szCs w:val="32"/>
        </w:rPr>
      </w:pPr>
      <w:r>
        <w:t>Concerns that increasing capital and liquidity requirements may limit bank lending, affecting economic development.</w:t>
      </w:r>
    </w:p>
    <w:p w14:paraId="03995B47" w14:textId="77777777" w:rsidR="00FF6B4A" w:rsidRDefault="00FF6B4A" w:rsidP="00FF6B4A">
      <w:r>
        <w:br/>
      </w:r>
      <w:r w:rsidRPr="001971C5">
        <w:rPr>
          <w:b/>
          <w:bCs/>
          <w:sz w:val="28"/>
          <w:szCs w:val="28"/>
        </w:rPr>
        <w:t>Criticism</w:t>
      </w:r>
      <w:r>
        <w:rPr>
          <w:b/>
          <w:bCs/>
          <w:sz w:val="28"/>
          <w:szCs w:val="28"/>
        </w:rPr>
        <w:t>s:</w:t>
      </w:r>
    </w:p>
    <w:p w14:paraId="2D4F7661" w14:textId="77777777" w:rsidR="00FF6B4A" w:rsidRDefault="00FF6B4A" w:rsidP="00FF6B4A">
      <w:pPr>
        <w:pStyle w:val="ListParagraph"/>
        <w:numPr>
          <w:ilvl w:val="0"/>
          <w:numId w:val="6"/>
        </w:numPr>
      </w:pPr>
      <w:r>
        <w:t>Basel III is viewed as difficult and onerous, especially for smaller banks that may struggle with compliance.</w:t>
      </w:r>
      <w:r>
        <w:br/>
      </w:r>
    </w:p>
    <w:p w14:paraId="5C7D3AEF" w14:textId="77777777" w:rsidR="00FF6B4A" w:rsidRDefault="00FF6B4A" w:rsidP="00FF6B4A">
      <w:pPr>
        <w:pStyle w:val="ListParagraph"/>
        <w:numPr>
          <w:ilvl w:val="0"/>
          <w:numId w:val="6"/>
        </w:numPr>
      </w:pPr>
      <w:r>
        <w:t>There is ongoing debate over the appropriate balance between standardised worldwide regulations and the necessity for flexibility to meet national banking peculiarities and situations.</w:t>
      </w:r>
    </w:p>
    <w:p w14:paraId="4B4AB88B" w14:textId="77777777" w:rsidR="00FF6B4A" w:rsidRDefault="00FF6B4A" w:rsidP="00FF6B4A">
      <w:pPr>
        <w:rPr>
          <w:b/>
          <w:bCs/>
          <w:sz w:val="32"/>
          <w:szCs w:val="32"/>
        </w:rPr>
      </w:pPr>
      <w:r w:rsidRPr="001971C5">
        <w:rPr>
          <w:b/>
          <w:bCs/>
          <w:sz w:val="32"/>
          <w:szCs w:val="32"/>
        </w:rPr>
        <w:t>Conclusion:</w:t>
      </w:r>
    </w:p>
    <w:p w14:paraId="0C967E8C" w14:textId="77777777" w:rsidR="00FF6B4A" w:rsidRDefault="00FF6B4A" w:rsidP="00FF6B4A">
      <w:r>
        <w:t>Basel III is a significant step forward in reinforcing the global banking sector against future financial crises. Despite issues such as complexity and early costs, the framework's emphasis on improved capital adequacy, liquidity management, and risk control is intended to generate longer-term stability and resilience in the banking industry.</w:t>
      </w:r>
    </w:p>
    <w:p w14:paraId="1D856FD2" w14:textId="77777777" w:rsidR="00FF6B4A" w:rsidRDefault="00FF6B4A"/>
    <w:sectPr w:rsidR="00FF6B4A" w:rsidSect="00FF6B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E3C"/>
    <w:multiLevelType w:val="hybridMultilevel"/>
    <w:tmpl w:val="832CB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F06593"/>
    <w:multiLevelType w:val="hybridMultilevel"/>
    <w:tmpl w:val="FC8AFEAA"/>
    <w:lvl w:ilvl="0" w:tplc="FFFFFFFF">
      <w:start w:val="1"/>
      <w:numFmt w:val="decimal"/>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8310EBE"/>
    <w:multiLevelType w:val="hybridMultilevel"/>
    <w:tmpl w:val="1C542760"/>
    <w:lvl w:ilvl="0" w:tplc="BC32738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493AA7"/>
    <w:multiLevelType w:val="hybridMultilevel"/>
    <w:tmpl w:val="3056A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9649D2"/>
    <w:multiLevelType w:val="hybridMultilevel"/>
    <w:tmpl w:val="0D0A8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38649E"/>
    <w:multiLevelType w:val="hybridMultilevel"/>
    <w:tmpl w:val="FC8AFEAA"/>
    <w:lvl w:ilvl="0" w:tplc="BC32738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490305">
    <w:abstractNumId w:val="3"/>
  </w:num>
  <w:num w:numId="2" w16cid:durableId="1592546461">
    <w:abstractNumId w:val="5"/>
  </w:num>
  <w:num w:numId="3" w16cid:durableId="373238782">
    <w:abstractNumId w:val="1"/>
  </w:num>
  <w:num w:numId="4" w16cid:durableId="1622806176">
    <w:abstractNumId w:val="0"/>
  </w:num>
  <w:num w:numId="5" w16cid:durableId="1636450114">
    <w:abstractNumId w:val="2"/>
  </w:num>
  <w:num w:numId="6" w16cid:durableId="2085881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4A"/>
    <w:rsid w:val="008D70FE"/>
    <w:rsid w:val="00FF6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79F2"/>
  <w15:chartTrackingRefBased/>
  <w15:docId w15:val="{31E878B1-EF64-094F-A5EC-68AEEA87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B4A"/>
    <w:rPr>
      <w:rFonts w:eastAsiaTheme="majorEastAsia" w:cstheme="majorBidi"/>
      <w:color w:val="272727" w:themeColor="text1" w:themeTint="D8"/>
    </w:rPr>
  </w:style>
  <w:style w:type="paragraph" w:styleId="Title">
    <w:name w:val="Title"/>
    <w:basedOn w:val="Normal"/>
    <w:next w:val="Normal"/>
    <w:link w:val="TitleChar"/>
    <w:uiPriority w:val="10"/>
    <w:qFormat/>
    <w:rsid w:val="00FF6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B4A"/>
    <w:pPr>
      <w:spacing w:before="160"/>
      <w:jc w:val="center"/>
    </w:pPr>
    <w:rPr>
      <w:i/>
      <w:iCs/>
      <w:color w:val="404040" w:themeColor="text1" w:themeTint="BF"/>
    </w:rPr>
  </w:style>
  <w:style w:type="character" w:customStyle="1" w:styleId="QuoteChar">
    <w:name w:val="Quote Char"/>
    <w:basedOn w:val="DefaultParagraphFont"/>
    <w:link w:val="Quote"/>
    <w:uiPriority w:val="29"/>
    <w:rsid w:val="00FF6B4A"/>
    <w:rPr>
      <w:i/>
      <w:iCs/>
      <w:color w:val="404040" w:themeColor="text1" w:themeTint="BF"/>
    </w:rPr>
  </w:style>
  <w:style w:type="paragraph" w:styleId="ListParagraph">
    <w:name w:val="List Paragraph"/>
    <w:basedOn w:val="Normal"/>
    <w:uiPriority w:val="34"/>
    <w:qFormat/>
    <w:rsid w:val="00FF6B4A"/>
    <w:pPr>
      <w:ind w:left="720"/>
      <w:contextualSpacing/>
    </w:pPr>
  </w:style>
  <w:style w:type="character" w:styleId="IntenseEmphasis">
    <w:name w:val="Intense Emphasis"/>
    <w:basedOn w:val="DefaultParagraphFont"/>
    <w:uiPriority w:val="21"/>
    <w:qFormat/>
    <w:rsid w:val="00FF6B4A"/>
    <w:rPr>
      <w:i/>
      <w:iCs/>
      <w:color w:val="0F4761" w:themeColor="accent1" w:themeShade="BF"/>
    </w:rPr>
  </w:style>
  <w:style w:type="paragraph" w:styleId="IntenseQuote">
    <w:name w:val="Intense Quote"/>
    <w:basedOn w:val="Normal"/>
    <w:next w:val="Normal"/>
    <w:link w:val="IntenseQuoteChar"/>
    <w:uiPriority w:val="30"/>
    <w:qFormat/>
    <w:rsid w:val="00FF6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B4A"/>
    <w:rPr>
      <w:i/>
      <w:iCs/>
      <w:color w:val="0F4761" w:themeColor="accent1" w:themeShade="BF"/>
    </w:rPr>
  </w:style>
  <w:style w:type="character" w:styleId="IntenseReference">
    <w:name w:val="Intense Reference"/>
    <w:basedOn w:val="DefaultParagraphFont"/>
    <w:uiPriority w:val="32"/>
    <w:qFormat/>
    <w:rsid w:val="00FF6B4A"/>
    <w:rPr>
      <w:b/>
      <w:bCs/>
      <w:smallCaps/>
      <w:color w:val="0F4761" w:themeColor="accent1" w:themeShade="BF"/>
      <w:spacing w:val="5"/>
    </w:rPr>
  </w:style>
  <w:style w:type="paragraph" w:styleId="NoSpacing">
    <w:name w:val="No Spacing"/>
    <w:link w:val="NoSpacingChar"/>
    <w:uiPriority w:val="1"/>
    <w:qFormat/>
    <w:rsid w:val="00FF6B4A"/>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F6B4A"/>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 iii Regulation</dc:title>
  <dc:subject/>
  <dc:creator>Parth Babbar</dc:creator>
  <cp:keywords/>
  <dc:description/>
  <cp:lastModifiedBy>Parth Babbar</cp:lastModifiedBy>
  <cp:revision>1</cp:revision>
  <dcterms:created xsi:type="dcterms:W3CDTF">2024-06-13T13:00:00Z</dcterms:created>
  <dcterms:modified xsi:type="dcterms:W3CDTF">2024-06-13T13:01:00Z</dcterms:modified>
</cp:coreProperties>
</file>