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161262"/>
        <w:docPartObj>
          <w:docPartGallery w:val="Cover Pages"/>
          <w:docPartUnique/>
        </w:docPartObj>
      </w:sdtPr>
      <w:sdtContent>
        <w:p w14:paraId="793F74C0" w14:textId="211A2472" w:rsidR="000E1DD9" w:rsidRDefault="000E1DD9">
          <w:r>
            <w:rPr>
              <w:noProof/>
            </w:rPr>
            <mc:AlternateContent>
              <mc:Choice Requires="wpg">
                <w:drawing>
                  <wp:anchor distT="0" distB="0" distL="114300" distR="114300" simplePos="0" relativeHeight="251659264" behindDoc="1" locked="0" layoutInCell="1" allowOverlap="1" wp14:anchorId="126EE60F" wp14:editId="437C8E1D">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75097E" w14:textId="03A6C320" w:rsidR="000E1DD9" w:rsidRDefault="000E1DD9">
                                      <w:pPr>
                                        <w:pStyle w:val="NoSpacing"/>
                                        <w:spacing w:before="120"/>
                                        <w:jc w:val="center"/>
                                        <w:rPr>
                                          <w:color w:val="FFFFFF" w:themeColor="background1"/>
                                        </w:rPr>
                                      </w:pPr>
                                      <w:r>
                                        <w:rPr>
                                          <w:color w:val="FFFFFF" w:themeColor="background1"/>
                                        </w:rPr>
                                        <w:t>Parth Babbar</w:t>
                                      </w:r>
                                    </w:p>
                                  </w:sdtContent>
                                </w:sdt>
                                <w:p w14:paraId="4AFA1345" w14:textId="0A1B1688" w:rsidR="000E1DD9" w:rsidRDefault="000E1DD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F32EFEC" w14:textId="431E90AF" w:rsidR="000E1DD9" w:rsidRDefault="000E1DD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Financial inclusion initiatives in the us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6EE60F"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75097E" w14:textId="03A6C320" w:rsidR="000E1DD9" w:rsidRDefault="000E1DD9">
                                <w:pPr>
                                  <w:pStyle w:val="NoSpacing"/>
                                  <w:spacing w:before="120"/>
                                  <w:jc w:val="center"/>
                                  <w:rPr>
                                    <w:color w:val="FFFFFF" w:themeColor="background1"/>
                                  </w:rPr>
                                </w:pPr>
                                <w:r>
                                  <w:rPr>
                                    <w:color w:val="FFFFFF" w:themeColor="background1"/>
                                  </w:rPr>
                                  <w:t>Parth Babbar</w:t>
                                </w:r>
                              </w:p>
                            </w:sdtContent>
                          </w:sdt>
                          <w:p w14:paraId="4AFA1345" w14:textId="0A1B1688" w:rsidR="000E1DD9" w:rsidRDefault="000E1DD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F32EFEC" w14:textId="431E90AF" w:rsidR="000E1DD9" w:rsidRDefault="000E1DD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Financial inclusion initiatives in the us</w:t>
                                </w:r>
                              </w:p>
                            </w:sdtContent>
                          </w:sdt>
                        </w:txbxContent>
                      </v:textbox>
                    </v:shape>
                    <w10:wrap anchorx="page" anchory="page"/>
                  </v:group>
                </w:pict>
              </mc:Fallback>
            </mc:AlternateContent>
          </w:r>
        </w:p>
        <w:p w14:paraId="5A47F2B0" w14:textId="1C64BF03" w:rsidR="000E1DD9" w:rsidRDefault="000E1DD9">
          <w:r>
            <w:br w:type="page"/>
          </w:r>
        </w:p>
      </w:sdtContent>
    </w:sdt>
    <w:p w14:paraId="5EFFCEC4" w14:textId="77777777" w:rsidR="000E1DD9" w:rsidRPr="00120B63" w:rsidRDefault="000E1DD9" w:rsidP="000E1DD9">
      <w:pPr>
        <w:rPr>
          <w:rFonts w:ascii="Times New Roman" w:hAnsi="Times New Roman" w:cs="Times New Roman"/>
          <w:b/>
          <w:bCs/>
          <w:sz w:val="36"/>
          <w:szCs w:val="36"/>
        </w:rPr>
      </w:pPr>
      <w:r w:rsidRPr="00120B63">
        <w:rPr>
          <w:rFonts w:ascii="Times New Roman" w:hAnsi="Times New Roman" w:cs="Times New Roman"/>
          <w:b/>
          <w:bCs/>
          <w:sz w:val="36"/>
          <w:szCs w:val="36"/>
        </w:rPr>
        <w:lastRenderedPageBreak/>
        <w:t>Financial Inclusion Initiatives in the US:</w:t>
      </w:r>
    </w:p>
    <w:p w14:paraId="16AC21B4" w14:textId="77777777" w:rsidR="000E1DD9" w:rsidRPr="00120B63" w:rsidRDefault="000E1DD9" w:rsidP="000E1DD9">
      <w:pPr>
        <w:rPr>
          <w:rFonts w:ascii="Times New Roman" w:hAnsi="Times New Roman" w:cs="Times New Roman"/>
          <w:b/>
          <w:bCs/>
          <w:sz w:val="32"/>
          <w:szCs w:val="32"/>
        </w:rPr>
      </w:pPr>
      <w:r w:rsidRPr="00120B63">
        <w:rPr>
          <w:rFonts w:ascii="Times New Roman" w:hAnsi="Times New Roman" w:cs="Times New Roman"/>
          <w:b/>
          <w:bCs/>
          <w:sz w:val="32"/>
          <w:szCs w:val="32"/>
        </w:rPr>
        <w:t>Introduction:</w:t>
      </w:r>
    </w:p>
    <w:p w14:paraId="6495AA77" w14:textId="77777777" w:rsidR="000E1DD9" w:rsidRPr="00120B63" w:rsidRDefault="000E1DD9" w:rsidP="000E1DD9">
      <w:pPr>
        <w:rPr>
          <w:rFonts w:ascii="Times New Roman" w:hAnsi="Times New Roman" w:cs="Times New Roman"/>
        </w:rPr>
      </w:pPr>
      <w:r w:rsidRPr="00120B63">
        <w:rPr>
          <w:rFonts w:ascii="Times New Roman" w:hAnsi="Times New Roman" w:cs="Times New Roman"/>
        </w:rPr>
        <w:t>Financial inclusion guarantees that individuals and companies have access to reasonably priced financial goods and services. It is critical for boosting economic growth and lowering social inequality. Despite the complexity of the US financial system, many Americans remain unbanked or underbanked, owing to factors such as geographic isolation and a lack of financial education.</w:t>
      </w:r>
    </w:p>
    <w:p w14:paraId="5CB97A49" w14:textId="77777777" w:rsidR="000E1DD9" w:rsidRPr="00120B63" w:rsidRDefault="000E1DD9" w:rsidP="000E1DD9">
      <w:pPr>
        <w:rPr>
          <w:rFonts w:ascii="Times New Roman" w:hAnsi="Times New Roman" w:cs="Times New Roman"/>
          <w:b/>
          <w:bCs/>
          <w:sz w:val="32"/>
          <w:szCs w:val="32"/>
        </w:rPr>
      </w:pPr>
      <w:r w:rsidRPr="00120B63">
        <w:rPr>
          <w:rFonts w:ascii="Times New Roman" w:hAnsi="Times New Roman" w:cs="Times New Roman"/>
          <w:b/>
          <w:bCs/>
          <w:sz w:val="32"/>
          <w:szCs w:val="32"/>
        </w:rPr>
        <w:t>Historical Background:</w:t>
      </w:r>
    </w:p>
    <w:p w14:paraId="5295214E" w14:textId="77777777" w:rsidR="000E1DD9" w:rsidRPr="00120B63" w:rsidRDefault="000E1DD9" w:rsidP="000E1DD9">
      <w:pPr>
        <w:pStyle w:val="ListParagraph"/>
        <w:numPr>
          <w:ilvl w:val="0"/>
          <w:numId w:val="1"/>
        </w:numPr>
        <w:rPr>
          <w:rFonts w:ascii="Times New Roman" w:hAnsi="Times New Roman" w:cs="Times New Roman"/>
          <w:b/>
          <w:bCs/>
        </w:rPr>
      </w:pPr>
      <w:r w:rsidRPr="00120B63">
        <w:rPr>
          <w:rFonts w:ascii="Times New Roman" w:hAnsi="Times New Roman" w:cs="Times New Roman"/>
          <w:b/>
          <w:bCs/>
        </w:rPr>
        <w:t>Early 20</w:t>
      </w:r>
      <w:r w:rsidRPr="00120B63">
        <w:rPr>
          <w:rFonts w:ascii="Times New Roman" w:hAnsi="Times New Roman" w:cs="Times New Roman"/>
          <w:b/>
          <w:bCs/>
          <w:vertAlign w:val="superscript"/>
        </w:rPr>
        <w:t>th</w:t>
      </w:r>
      <w:r w:rsidRPr="00120B63">
        <w:rPr>
          <w:rFonts w:ascii="Times New Roman" w:hAnsi="Times New Roman" w:cs="Times New Roman"/>
          <w:b/>
          <w:bCs/>
        </w:rPr>
        <w:t xml:space="preserve"> Century: </w:t>
      </w:r>
      <w:r w:rsidRPr="00120B63">
        <w:rPr>
          <w:rFonts w:ascii="Times New Roman" w:hAnsi="Times New Roman" w:cs="Times New Roman"/>
        </w:rPr>
        <w:t>Credit unions were established as part of initiatives to offer underprivileged communities with inexpensive financial services.</w:t>
      </w:r>
      <w:r w:rsidRPr="00120B63">
        <w:rPr>
          <w:rFonts w:ascii="Times New Roman" w:hAnsi="Times New Roman" w:cs="Times New Roman"/>
        </w:rPr>
        <w:br/>
      </w:r>
      <w:r w:rsidRPr="00120B63">
        <w:rPr>
          <w:rFonts w:ascii="Times New Roman" w:hAnsi="Times New Roman" w:cs="Times New Roman"/>
        </w:rPr>
        <w:fldChar w:fldCharType="begin"/>
      </w:r>
      <w:r w:rsidRPr="00120B63">
        <w:rPr>
          <w:rFonts w:ascii="Times New Roman" w:hAnsi="Times New Roman" w:cs="Times New Roman"/>
        </w:rPr>
        <w:instrText xml:space="preserve"> INCLUDEPICTURE "https://arizent.brightspotcdn.com/dims4/default/1887e9b/2147483647/strip/true/crop/3560x2003+0+159/resize/1200x675!/quality/90/?url=https%3A%2F%2Fsource-media-brightspot.s3.us-east-1.amazonaws.com%2Ffb%2F14%2F00ebb55c4dff9c6ed04f2d4aaa5c%2Fab-042318-cupart2.png" \* MERGEFORMATINET </w:instrText>
      </w:r>
      <w:r w:rsidRPr="00120B63">
        <w:rPr>
          <w:rFonts w:ascii="Times New Roman" w:hAnsi="Times New Roman" w:cs="Times New Roman"/>
        </w:rPr>
        <w:fldChar w:fldCharType="separate"/>
      </w:r>
      <w:r w:rsidRPr="00120B63">
        <w:rPr>
          <w:rFonts w:ascii="Times New Roman" w:hAnsi="Times New Roman" w:cs="Times New Roman"/>
          <w:noProof/>
        </w:rPr>
        <w:drawing>
          <wp:inline distT="0" distB="0" distL="0" distR="0" wp14:anchorId="7BD95460" wp14:editId="5B86D937">
            <wp:extent cx="4527259" cy="2078182"/>
            <wp:effectExtent l="0" t="0" r="0" b="5080"/>
            <wp:docPr id="363443311" name="Picture 6" descr="Credit unions vs banks: How we got here | American Ba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dit unions vs banks: How we got here | American Ban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5805" cy="2109647"/>
                    </a:xfrm>
                    <a:prstGeom prst="rect">
                      <a:avLst/>
                    </a:prstGeom>
                    <a:noFill/>
                    <a:ln>
                      <a:noFill/>
                    </a:ln>
                  </pic:spPr>
                </pic:pic>
              </a:graphicData>
            </a:graphic>
          </wp:inline>
        </w:drawing>
      </w:r>
      <w:r w:rsidRPr="00120B63">
        <w:rPr>
          <w:rFonts w:ascii="Times New Roman" w:hAnsi="Times New Roman" w:cs="Times New Roman"/>
        </w:rPr>
        <w:fldChar w:fldCharType="end"/>
      </w:r>
      <w:r w:rsidRPr="00120B63">
        <w:rPr>
          <w:rFonts w:ascii="Times New Roman" w:hAnsi="Times New Roman" w:cs="Times New Roman"/>
        </w:rPr>
        <w:br/>
      </w:r>
    </w:p>
    <w:p w14:paraId="3E2B7E8F" w14:textId="77777777" w:rsidR="000E1DD9" w:rsidRPr="00120B63" w:rsidRDefault="000E1DD9" w:rsidP="000E1DD9">
      <w:pPr>
        <w:pStyle w:val="ListParagraph"/>
        <w:numPr>
          <w:ilvl w:val="0"/>
          <w:numId w:val="1"/>
        </w:numPr>
        <w:rPr>
          <w:rFonts w:ascii="Times New Roman" w:hAnsi="Times New Roman" w:cs="Times New Roman"/>
          <w:b/>
          <w:bCs/>
        </w:rPr>
      </w:pPr>
      <w:r w:rsidRPr="00120B63">
        <w:rPr>
          <w:rFonts w:ascii="Times New Roman" w:hAnsi="Times New Roman" w:cs="Times New Roman"/>
          <w:b/>
          <w:bCs/>
        </w:rPr>
        <w:t>1960s to 1970s:</w:t>
      </w:r>
      <w:r w:rsidRPr="00120B63">
        <w:rPr>
          <w:rFonts w:ascii="Times New Roman" w:hAnsi="Times New Roman" w:cs="Times New Roman"/>
        </w:rPr>
        <w:t xml:space="preserve"> The civil rights movement drew attention to the issue of financial exclusion, prompting legislative attempts such as the Community Reinvestment Act of 1977 (CRA).</w:t>
      </w:r>
      <w:r w:rsidRPr="00120B63">
        <w:rPr>
          <w:rFonts w:ascii="Times New Roman" w:hAnsi="Times New Roman" w:cs="Times New Roman"/>
        </w:rPr>
        <w:br/>
      </w:r>
      <w:r w:rsidRPr="00120B63">
        <w:rPr>
          <w:rFonts w:ascii="Times New Roman" w:hAnsi="Times New Roman" w:cs="Times New Roman"/>
          <w:noProof/>
        </w:rPr>
        <w:drawing>
          <wp:inline distT="0" distB="0" distL="0" distR="0" wp14:anchorId="5F47F3DC" wp14:editId="666339CD">
            <wp:extent cx="2098964" cy="1302729"/>
            <wp:effectExtent l="0" t="0" r="0" b="5715"/>
            <wp:docPr id="1853532651" name="Picture 7" descr="Community Reinvestment Act of 197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unity Reinvestment Act of 1977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651" cy="1307500"/>
                    </a:xfrm>
                    <a:prstGeom prst="rect">
                      <a:avLst/>
                    </a:prstGeom>
                    <a:noFill/>
                    <a:ln>
                      <a:noFill/>
                    </a:ln>
                  </pic:spPr>
                </pic:pic>
              </a:graphicData>
            </a:graphic>
          </wp:inline>
        </w:drawing>
      </w:r>
      <w:r w:rsidRPr="00120B63">
        <w:rPr>
          <w:rFonts w:ascii="Times New Roman" w:hAnsi="Times New Roman" w:cs="Times New Roman"/>
        </w:rPr>
        <w:br/>
      </w:r>
    </w:p>
    <w:p w14:paraId="25A309E5" w14:textId="77777777" w:rsidR="000E1DD9" w:rsidRPr="00120B63" w:rsidRDefault="000E1DD9" w:rsidP="000E1DD9">
      <w:pPr>
        <w:pStyle w:val="ListParagraph"/>
        <w:numPr>
          <w:ilvl w:val="0"/>
          <w:numId w:val="1"/>
        </w:numPr>
        <w:rPr>
          <w:rFonts w:ascii="Times New Roman" w:hAnsi="Times New Roman" w:cs="Times New Roman"/>
          <w:b/>
          <w:bCs/>
        </w:rPr>
      </w:pPr>
      <w:r w:rsidRPr="00120B63">
        <w:rPr>
          <w:rFonts w:ascii="Times New Roman" w:hAnsi="Times New Roman" w:cs="Times New Roman"/>
          <w:b/>
          <w:bCs/>
        </w:rPr>
        <w:t>1990s to 2000s:</w:t>
      </w:r>
      <w:r w:rsidRPr="00120B63">
        <w:rPr>
          <w:rFonts w:ascii="Times New Roman" w:hAnsi="Times New Roman" w:cs="Times New Roman"/>
        </w:rPr>
        <w:t xml:space="preserve"> Technological advancements and the advent of microfinance and fintech firms led to the development of new financial inclusion solutions.</w:t>
      </w:r>
      <w:r w:rsidRPr="00120B63">
        <w:rPr>
          <w:rFonts w:ascii="Times New Roman" w:hAnsi="Times New Roman" w:cs="Times New Roman"/>
        </w:rPr>
        <w:br/>
      </w:r>
    </w:p>
    <w:p w14:paraId="7ABF56C7" w14:textId="77777777" w:rsidR="000E1DD9" w:rsidRPr="00120B63" w:rsidRDefault="000E1DD9" w:rsidP="000E1DD9">
      <w:pPr>
        <w:rPr>
          <w:rFonts w:ascii="Times New Roman" w:hAnsi="Times New Roman" w:cs="Times New Roman"/>
          <w:b/>
          <w:bCs/>
          <w:sz w:val="32"/>
          <w:szCs w:val="32"/>
        </w:rPr>
      </w:pPr>
      <w:r w:rsidRPr="00120B63">
        <w:rPr>
          <w:rFonts w:ascii="Times New Roman" w:hAnsi="Times New Roman" w:cs="Times New Roman"/>
          <w:b/>
          <w:bCs/>
          <w:sz w:val="32"/>
          <w:szCs w:val="32"/>
        </w:rPr>
        <w:t>What is the current status of financial inclusion in US?</w:t>
      </w:r>
    </w:p>
    <w:p w14:paraId="1971002A" w14:textId="77777777" w:rsidR="000E1DD9" w:rsidRPr="00120B63" w:rsidRDefault="000E1DD9" w:rsidP="000E1DD9">
      <w:pPr>
        <w:rPr>
          <w:rFonts w:ascii="Times New Roman" w:hAnsi="Times New Roman" w:cs="Times New Roman"/>
        </w:rPr>
      </w:pPr>
      <w:r w:rsidRPr="00120B63">
        <w:rPr>
          <w:rFonts w:ascii="Times New Roman" w:hAnsi="Times New Roman" w:cs="Times New Roman"/>
        </w:rPr>
        <w:t xml:space="preserve">According to the FDIC, around 5.4% of US families were unbanked in 2021, with another 18.7% underbanked, relying on alternative financial services such as payday loans and cheque cashing. Geographic limitations, particularly in rural and underserved urban areas, </w:t>
      </w:r>
      <w:r w:rsidRPr="00120B63">
        <w:rPr>
          <w:rFonts w:ascii="Times New Roman" w:hAnsi="Times New Roman" w:cs="Times New Roman"/>
        </w:rPr>
        <w:lastRenderedPageBreak/>
        <w:t>economic challenges, as traditional banking services can be prohibitively expensive for low-income individuals, and educational barriers, such as a lack of financial literacy, all impede effective use of banking services.</w:t>
      </w:r>
      <w:r w:rsidRPr="00120B63">
        <w:rPr>
          <w:rFonts w:ascii="Times New Roman" w:hAnsi="Times New Roman" w:cs="Times New Roman"/>
        </w:rPr>
        <w:br/>
      </w:r>
    </w:p>
    <w:p w14:paraId="1F200614" w14:textId="77777777" w:rsidR="000E1DD9" w:rsidRPr="00120B63" w:rsidRDefault="000E1DD9" w:rsidP="000E1DD9">
      <w:pPr>
        <w:rPr>
          <w:rFonts w:ascii="Times New Roman" w:hAnsi="Times New Roman" w:cs="Times New Roman"/>
          <w:b/>
          <w:bCs/>
          <w:sz w:val="32"/>
          <w:szCs w:val="32"/>
        </w:rPr>
      </w:pPr>
      <w:r w:rsidRPr="00120B63">
        <w:rPr>
          <w:rFonts w:ascii="Times New Roman" w:hAnsi="Times New Roman" w:cs="Times New Roman"/>
          <w:b/>
          <w:bCs/>
          <w:sz w:val="32"/>
          <w:szCs w:val="32"/>
        </w:rPr>
        <w:t>What are the key Initiatives of Financial Inclusion?</w:t>
      </w:r>
    </w:p>
    <w:p w14:paraId="2A95F74C" w14:textId="77777777" w:rsidR="000E1DD9" w:rsidRPr="00120B63" w:rsidRDefault="000E1DD9" w:rsidP="000E1DD9">
      <w:pPr>
        <w:rPr>
          <w:rFonts w:ascii="Times New Roman" w:hAnsi="Times New Roman" w:cs="Times New Roman"/>
        </w:rPr>
      </w:pPr>
      <w:r w:rsidRPr="00120B63">
        <w:rPr>
          <w:rFonts w:ascii="Times New Roman" w:hAnsi="Times New Roman" w:cs="Times New Roman"/>
        </w:rPr>
        <w:t>There are 3 major initiatives that are mentioned below:</w:t>
      </w:r>
    </w:p>
    <w:p w14:paraId="563CE3C4" w14:textId="77777777" w:rsidR="000E1DD9" w:rsidRPr="00120B63" w:rsidRDefault="000E1DD9" w:rsidP="000E1DD9">
      <w:pPr>
        <w:pStyle w:val="ListParagraph"/>
        <w:numPr>
          <w:ilvl w:val="0"/>
          <w:numId w:val="2"/>
        </w:numPr>
        <w:rPr>
          <w:rFonts w:ascii="Times New Roman" w:hAnsi="Times New Roman" w:cs="Times New Roman"/>
          <w:b/>
          <w:bCs/>
        </w:rPr>
      </w:pPr>
      <w:r w:rsidRPr="00120B63">
        <w:rPr>
          <w:rFonts w:ascii="Times New Roman" w:hAnsi="Times New Roman" w:cs="Times New Roman"/>
          <w:b/>
          <w:bCs/>
        </w:rPr>
        <w:t xml:space="preserve">Government-led Initiative: </w:t>
      </w:r>
      <w:r w:rsidRPr="00120B63">
        <w:rPr>
          <w:rFonts w:ascii="Times New Roman" w:hAnsi="Times New Roman" w:cs="Times New Roman"/>
        </w:rPr>
        <w:t>The Community Reinvestment Act (CRA) encourages banks to meet the credit needs of all communities, particularly those with low- and moderate-income populations, therefore fostering financial inclusion and equal access to banking services. The MyRA (My Retirement Account) Programme, on the other hand, was discontinued but was designed to provide simple and secure retirement savings options for low- and middle-income workers, addressing the pressing need for accessible retirement planning tools among underserved populations.</w:t>
      </w:r>
      <w:r w:rsidRPr="00120B63">
        <w:rPr>
          <w:rFonts w:ascii="Times New Roman" w:hAnsi="Times New Roman" w:cs="Times New Roman"/>
        </w:rPr>
        <w:br/>
      </w:r>
    </w:p>
    <w:p w14:paraId="78FAC924" w14:textId="77777777" w:rsidR="000E1DD9" w:rsidRPr="00120B63" w:rsidRDefault="000E1DD9" w:rsidP="000E1DD9">
      <w:pPr>
        <w:pStyle w:val="ListParagraph"/>
        <w:numPr>
          <w:ilvl w:val="0"/>
          <w:numId w:val="2"/>
        </w:numPr>
        <w:rPr>
          <w:rFonts w:ascii="Times New Roman" w:hAnsi="Times New Roman" w:cs="Times New Roman"/>
          <w:b/>
          <w:bCs/>
        </w:rPr>
      </w:pPr>
      <w:r w:rsidRPr="00120B63">
        <w:rPr>
          <w:rFonts w:ascii="Times New Roman" w:hAnsi="Times New Roman" w:cs="Times New Roman"/>
          <w:b/>
          <w:bCs/>
        </w:rPr>
        <w:t>Private-Sector Initiatives:</w:t>
      </w:r>
      <w:r w:rsidRPr="00120B63">
        <w:rPr>
          <w:rFonts w:ascii="Times New Roman" w:hAnsi="Times New Roman" w:cs="Times New Roman"/>
        </w:rPr>
        <w:t xml:space="preserve"> The Bank On Initiative works to guarantee that everyone has access to safe and cheap bank or credit union accounts, therefore promoting financial inclusion across various groups. Banks' financial literacy programmes complement this effort by providing excellent educational materials to assist consumers in properly managing their finances, improving their financial well-being, and fostering informed decision-making. Together, these programmes help to create a more financially inclusive society in which everyone have the skills and information they need to fulfil their economic goals.</w:t>
      </w:r>
      <w:r w:rsidRPr="00120B63">
        <w:rPr>
          <w:rFonts w:ascii="Times New Roman" w:hAnsi="Times New Roman" w:cs="Times New Roman"/>
        </w:rPr>
        <w:br/>
      </w:r>
    </w:p>
    <w:p w14:paraId="48035C58" w14:textId="77777777" w:rsidR="000E1DD9" w:rsidRPr="00120B63" w:rsidRDefault="000E1DD9" w:rsidP="000E1DD9">
      <w:pPr>
        <w:pStyle w:val="ListParagraph"/>
        <w:numPr>
          <w:ilvl w:val="0"/>
          <w:numId w:val="2"/>
        </w:numPr>
        <w:rPr>
          <w:rFonts w:ascii="Times New Roman" w:hAnsi="Times New Roman" w:cs="Times New Roman"/>
          <w:b/>
          <w:bCs/>
        </w:rPr>
      </w:pPr>
      <w:r w:rsidRPr="00120B63">
        <w:rPr>
          <w:rFonts w:ascii="Times New Roman" w:hAnsi="Times New Roman" w:cs="Times New Roman"/>
          <w:b/>
          <w:bCs/>
        </w:rPr>
        <w:t xml:space="preserve">Non-Profit and NGO Initiatives: </w:t>
      </w:r>
      <w:r w:rsidRPr="00120B63">
        <w:rPr>
          <w:rFonts w:ascii="Times New Roman" w:hAnsi="Times New Roman" w:cs="Times New Roman"/>
        </w:rPr>
        <w:t>The Centre for Financial Services Innovation (CFSI) conducts research, innovation, and collaborations to improve the financial health of marginalised communities, therefore creating positive change in the financial services industry and promoting economic stability and empowerment.</w:t>
      </w:r>
      <w:r w:rsidRPr="00120B63">
        <w:rPr>
          <w:rFonts w:ascii="Times New Roman" w:hAnsi="Times New Roman" w:cs="Times New Roman"/>
        </w:rPr>
        <w:br/>
      </w:r>
    </w:p>
    <w:p w14:paraId="43FA75F5" w14:textId="77777777" w:rsidR="000E1DD9" w:rsidRPr="00120B63" w:rsidRDefault="000E1DD9" w:rsidP="000E1DD9">
      <w:pPr>
        <w:rPr>
          <w:rFonts w:ascii="Times New Roman" w:hAnsi="Times New Roman" w:cs="Times New Roman"/>
          <w:b/>
          <w:bCs/>
          <w:sz w:val="32"/>
          <w:szCs w:val="32"/>
        </w:rPr>
      </w:pPr>
      <w:r w:rsidRPr="00120B63">
        <w:rPr>
          <w:rFonts w:ascii="Times New Roman" w:hAnsi="Times New Roman" w:cs="Times New Roman"/>
          <w:b/>
          <w:bCs/>
          <w:sz w:val="32"/>
          <w:szCs w:val="32"/>
        </w:rPr>
        <w:t>Role of Technology:</w:t>
      </w:r>
    </w:p>
    <w:p w14:paraId="7A8C179C" w14:textId="77777777" w:rsidR="000E1DD9" w:rsidRPr="00120B63" w:rsidRDefault="000E1DD9" w:rsidP="000E1DD9">
      <w:pPr>
        <w:pStyle w:val="ListParagraph"/>
        <w:numPr>
          <w:ilvl w:val="0"/>
          <w:numId w:val="3"/>
        </w:numPr>
        <w:rPr>
          <w:rFonts w:ascii="Times New Roman" w:hAnsi="Times New Roman" w:cs="Times New Roman"/>
          <w:b/>
          <w:bCs/>
        </w:rPr>
      </w:pPr>
      <w:r w:rsidRPr="00120B63">
        <w:rPr>
          <w:rFonts w:ascii="Times New Roman" w:hAnsi="Times New Roman" w:cs="Times New Roman"/>
          <w:b/>
          <w:bCs/>
        </w:rPr>
        <w:t xml:space="preserve">Mobile-Banking and Digital Wallets: </w:t>
      </w:r>
      <w:r w:rsidRPr="00120B63">
        <w:rPr>
          <w:rFonts w:ascii="Times New Roman" w:hAnsi="Times New Roman" w:cs="Times New Roman"/>
        </w:rPr>
        <w:t>Mobile technology enables consumers to access financial services without the need for physical branches, which is particularly significant in underserved regions.</w:t>
      </w:r>
      <w:r w:rsidRPr="00120B63">
        <w:rPr>
          <w:rFonts w:ascii="Times New Roman" w:hAnsi="Times New Roman" w:cs="Times New Roman"/>
        </w:rPr>
        <w:br/>
      </w:r>
    </w:p>
    <w:p w14:paraId="6B72B32E" w14:textId="77777777" w:rsidR="000E1DD9" w:rsidRPr="00120B63" w:rsidRDefault="000E1DD9" w:rsidP="000E1DD9">
      <w:pPr>
        <w:pStyle w:val="ListParagraph"/>
        <w:numPr>
          <w:ilvl w:val="0"/>
          <w:numId w:val="3"/>
        </w:numPr>
        <w:rPr>
          <w:rFonts w:ascii="Times New Roman" w:hAnsi="Times New Roman" w:cs="Times New Roman"/>
          <w:b/>
          <w:bCs/>
        </w:rPr>
      </w:pPr>
      <w:r w:rsidRPr="00120B63">
        <w:rPr>
          <w:rFonts w:ascii="Times New Roman" w:hAnsi="Times New Roman" w:cs="Times New Roman"/>
          <w:b/>
          <w:bCs/>
        </w:rPr>
        <w:t xml:space="preserve">Platforms for Peer-to-Peer Lending: </w:t>
      </w:r>
      <w:r w:rsidRPr="00120B63">
        <w:rPr>
          <w:rFonts w:ascii="Times New Roman" w:hAnsi="Times New Roman" w:cs="Times New Roman"/>
        </w:rPr>
        <w:t>These platforms offer alternative funding choices for people and small enterprises that may not be eligible for standard loans.</w:t>
      </w:r>
      <w:r w:rsidRPr="00120B63">
        <w:rPr>
          <w:rFonts w:ascii="Times New Roman" w:hAnsi="Times New Roman" w:cs="Times New Roman"/>
        </w:rPr>
        <w:br/>
      </w:r>
    </w:p>
    <w:p w14:paraId="7DE3CD44" w14:textId="1F0306C8" w:rsidR="000E1DD9" w:rsidRDefault="000E1DD9" w:rsidP="000E1DD9">
      <w:pPr>
        <w:pStyle w:val="ListParagraph"/>
        <w:numPr>
          <w:ilvl w:val="0"/>
          <w:numId w:val="3"/>
        </w:numPr>
      </w:pPr>
      <w:r w:rsidRPr="000E1DD9">
        <w:rPr>
          <w:rFonts w:ascii="Times New Roman" w:hAnsi="Times New Roman" w:cs="Times New Roman"/>
          <w:b/>
          <w:bCs/>
        </w:rPr>
        <w:t>Blockchain and Cryptocurrency:</w:t>
      </w:r>
      <w:r w:rsidRPr="000E1DD9">
        <w:rPr>
          <w:rFonts w:ascii="Times New Roman" w:hAnsi="Times New Roman" w:cs="Times New Roman"/>
        </w:rPr>
        <w:t xml:space="preserve"> These technologies have the potential to provide safe, low-cost financial transactions, notably remittances and cross-border payments.</w:t>
      </w:r>
      <w:r w:rsidRPr="000E1DD9">
        <w:rPr>
          <w:rFonts w:ascii="Times New Roman" w:hAnsi="Times New Roman" w:cs="Times New Roman"/>
        </w:rPr>
        <w:br/>
      </w:r>
      <w:r>
        <w:br/>
      </w:r>
    </w:p>
    <w:p w14:paraId="5DC87D72" w14:textId="65D7C312" w:rsidR="000E1DD9" w:rsidRDefault="000E1DD9" w:rsidP="000E1DD9">
      <w:pPr>
        <w:rPr>
          <w:b/>
          <w:bCs/>
          <w:sz w:val="32"/>
          <w:szCs w:val="32"/>
        </w:rPr>
      </w:pPr>
      <w:r w:rsidRPr="000E1DD9">
        <w:rPr>
          <w:b/>
          <w:bCs/>
          <w:sz w:val="32"/>
          <w:szCs w:val="32"/>
        </w:rPr>
        <w:lastRenderedPageBreak/>
        <w:t>Conclusion:</w:t>
      </w:r>
    </w:p>
    <w:p w14:paraId="0C72BAEF" w14:textId="7C81FB45" w:rsidR="000E1DD9" w:rsidRPr="000E1DD9" w:rsidRDefault="000E1DD9" w:rsidP="000E1DD9">
      <w:r>
        <w:t>Financial inclusion programmes in the United States have made great progress, but problems persist. Addressing the digital gap, boosting cybersecurity, and increasing financial literacy are all key steps towards attaining complete financial inclusion. Future projects should prioritise using technology to reach disadvantaged people and offer them with the tools they need to manage their finances efficiently.</w:t>
      </w:r>
    </w:p>
    <w:sectPr w:rsidR="000E1DD9" w:rsidRPr="000E1DD9" w:rsidSect="000E1DD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8AA"/>
    <w:multiLevelType w:val="hybridMultilevel"/>
    <w:tmpl w:val="4432B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7D1B03"/>
    <w:multiLevelType w:val="hybridMultilevel"/>
    <w:tmpl w:val="01BCC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EB0C68"/>
    <w:multiLevelType w:val="hybridMultilevel"/>
    <w:tmpl w:val="D706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8271208">
    <w:abstractNumId w:val="1"/>
  </w:num>
  <w:num w:numId="2" w16cid:durableId="1328240805">
    <w:abstractNumId w:val="2"/>
  </w:num>
  <w:num w:numId="3" w16cid:durableId="77097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D9"/>
    <w:rsid w:val="000E1DD9"/>
    <w:rsid w:val="00AE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253B"/>
  <w15:chartTrackingRefBased/>
  <w15:docId w15:val="{FBE44271-32E2-8444-B863-7920754C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DD9"/>
    <w:rPr>
      <w:rFonts w:eastAsiaTheme="majorEastAsia" w:cstheme="majorBidi"/>
      <w:color w:val="272727" w:themeColor="text1" w:themeTint="D8"/>
    </w:rPr>
  </w:style>
  <w:style w:type="paragraph" w:styleId="Title">
    <w:name w:val="Title"/>
    <w:basedOn w:val="Normal"/>
    <w:next w:val="Normal"/>
    <w:link w:val="TitleChar"/>
    <w:uiPriority w:val="10"/>
    <w:qFormat/>
    <w:rsid w:val="000E1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DD9"/>
    <w:pPr>
      <w:spacing w:before="160"/>
      <w:jc w:val="center"/>
    </w:pPr>
    <w:rPr>
      <w:i/>
      <w:iCs/>
      <w:color w:val="404040" w:themeColor="text1" w:themeTint="BF"/>
    </w:rPr>
  </w:style>
  <w:style w:type="character" w:customStyle="1" w:styleId="QuoteChar">
    <w:name w:val="Quote Char"/>
    <w:basedOn w:val="DefaultParagraphFont"/>
    <w:link w:val="Quote"/>
    <w:uiPriority w:val="29"/>
    <w:rsid w:val="000E1DD9"/>
    <w:rPr>
      <w:i/>
      <w:iCs/>
      <w:color w:val="404040" w:themeColor="text1" w:themeTint="BF"/>
    </w:rPr>
  </w:style>
  <w:style w:type="paragraph" w:styleId="ListParagraph">
    <w:name w:val="List Paragraph"/>
    <w:basedOn w:val="Normal"/>
    <w:uiPriority w:val="34"/>
    <w:qFormat/>
    <w:rsid w:val="000E1DD9"/>
    <w:pPr>
      <w:ind w:left="720"/>
      <w:contextualSpacing/>
    </w:pPr>
  </w:style>
  <w:style w:type="character" w:styleId="IntenseEmphasis">
    <w:name w:val="Intense Emphasis"/>
    <w:basedOn w:val="DefaultParagraphFont"/>
    <w:uiPriority w:val="21"/>
    <w:qFormat/>
    <w:rsid w:val="000E1DD9"/>
    <w:rPr>
      <w:i/>
      <w:iCs/>
      <w:color w:val="0F4761" w:themeColor="accent1" w:themeShade="BF"/>
    </w:rPr>
  </w:style>
  <w:style w:type="paragraph" w:styleId="IntenseQuote">
    <w:name w:val="Intense Quote"/>
    <w:basedOn w:val="Normal"/>
    <w:next w:val="Normal"/>
    <w:link w:val="IntenseQuoteChar"/>
    <w:uiPriority w:val="30"/>
    <w:qFormat/>
    <w:rsid w:val="000E1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DD9"/>
    <w:rPr>
      <w:i/>
      <w:iCs/>
      <w:color w:val="0F4761" w:themeColor="accent1" w:themeShade="BF"/>
    </w:rPr>
  </w:style>
  <w:style w:type="character" w:styleId="IntenseReference">
    <w:name w:val="Intense Reference"/>
    <w:basedOn w:val="DefaultParagraphFont"/>
    <w:uiPriority w:val="32"/>
    <w:qFormat/>
    <w:rsid w:val="000E1DD9"/>
    <w:rPr>
      <w:b/>
      <w:bCs/>
      <w:smallCaps/>
      <w:color w:val="0F4761" w:themeColor="accent1" w:themeShade="BF"/>
      <w:spacing w:val="5"/>
    </w:rPr>
  </w:style>
  <w:style w:type="paragraph" w:styleId="NoSpacing">
    <w:name w:val="No Spacing"/>
    <w:link w:val="NoSpacingChar"/>
    <w:uiPriority w:val="1"/>
    <w:qFormat/>
    <w:rsid w:val="000E1DD9"/>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0E1DD9"/>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kishibabbar@gmail.com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652</Words>
  <Characters>3723</Characters>
  <Application>Microsoft Office Word</Application>
  <DocSecurity>0</DocSecurity>
  <Lines>31</Lines>
  <Paragraphs>8</Paragraphs>
  <ScaleCrop>false</ScaleCrop>
  <Company>9999940289</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inclusion initiatives in the us</dc:title>
  <dc:subject/>
  <dc:creator>Parth Babbar</dc:creator>
  <cp:keywords/>
  <dc:description/>
  <cp:lastModifiedBy>Parth Babbar</cp:lastModifiedBy>
  <cp:revision>1</cp:revision>
  <dcterms:created xsi:type="dcterms:W3CDTF">2024-06-10T12:11:00Z</dcterms:created>
  <dcterms:modified xsi:type="dcterms:W3CDTF">2024-06-10T12:13:00Z</dcterms:modified>
</cp:coreProperties>
</file>