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92736262"/>
        <w:docPartObj>
          <w:docPartGallery w:val="Cover Pages"/>
          <w:docPartUnique/>
        </w:docPartObj>
      </w:sdtPr>
      <w:sdtContent>
        <w:p w14:paraId="4CABF4BA" w14:textId="355FFC4B" w:rsidR="00FF2B8D" w:rsidRDefault="00FF2B8D">
          <w:r>
            <w:rPr>
              <w:noProof/>
            </w:rPr>
            <mc:AlternateContent>
              <mc:Choice Requires="wpg">
                <w:drawing>
                  <wp:anchor distT="0" distB="0" distL="114300" distR="114300" simplePos="0" relativeHeight="251659264" behindDoc="1" locked="0" layoutInCell="1" allowOverlap="1" wp14:anchorId="7BD86486" wp14:editId="37956A88">
                    <wp:simplePos x="0" y="0"/>
                    <wp:positionH relativeFrom="page">
                      <wp:align>center</wp:align>
                    </wp:positionH>
                    <wp:positionV relativeFrom="page">
                      <wp:align>center</wp:align>
                    </wp:positionV>
                    <wp:extent cx="6864824" cy="9123528"/>
                    <wp:effectExtent l="0" t="0" r="2540" b="635"/>
                    <wp:wrapNone/>
                    <wp:docPr id="193" name="Group 31"/>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0786EAFE" w14:textId="4C4A28CD" w:rsidR="00FF2B8D" w:rsidRDefault="00FF2B8D">
                                      <w:pPr>
                                        <w:pStyle w:val="NoSpacing"/>
                                        <w:spacing w:before="120"/>
                                        <w:jc w:val="center"/>
                                        <w:rPr>
                                          <w:color w:val="FFFFFF" w:themeColor="background1"/>
                                        </w:rPr>
                                      </w:pPr>
                                      <w:r>
                                        <w:rPr>
                                          <w:color w:val="FFFFFF" w:themeColor="background1"/>
                                        </w:rPr>
                                        <w:t xml:space="preserve">Parth </w:t>
                                      </w:r>
                                      <w:proofErr w:type="spellStart"/>
                                      <w:r>
                                        <w:rPr>
                                          <w:color w:val="FFFFFF" w:themeColor="background1"/>
                                        </w:rPr>
                                        <w:t>Babbar</w:t>
                                      </w:r>
                                      <w:proofErr w:type="spellEnd"/>
                                    </w:p>
                                  </w:sdtContent>
                                </w:sdt>
                                <w:p w14:paraId="5DF1CEBD" w14:textId="5B10D7CC" w:rsidR="00FF2B8D" w:rsidRDefault="00FF2B8D" w:rsidP="00FF2B8D">
                                  <w:pPr>
                                    <w:pStyle w:val="NoSpacing"/>
                                    <w:spacing w:before="120"/>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12E93382" w14:textId="0C4CD4FE" w:rsidR="00FF2B8D" w:rsidRDefault="00FF2B8D">
                                      <w:pPr>
                                        <w:pStyle w:val="NoSpacing"/>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investment banking operation</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BD86486" id="Group 31"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uxXZqwMAAL4OAAAOAAAAZHJzL2Uyb0RvYy54bWzsV9tu2zgQfS+w/0DwfaOLLccWohTZtAkK&#13;&#10;BG3QZNFnmqIsYSmSJelI6dfvkLrYcZw2cLHZFi0QKKTmQs7x8PDo5HVbc3THtKmkyHB0FGLEBJV5&#13;&#10;JVYZ/vv24s85RsYSkRMuBcvwPTP49ekfr04albJYlpLnTCNIIkzaqAyX1qo0CAwtWU3MkVRMgLGQ&#13;&#10;uiYWpnoV5Jo0kL3mQRyGs6CROldaUmYMvH3TGfGpz18UjNoPRWGYRTzDsDfrn9o/l+4ZnJ6QdKWJ&#13;&#10;Kivab4McsIuaVAIWHVO9IZagta4epaorqqWRhT2isg5kUVSU+RqgmijcqeZSy7XytazSZqVGmADa&#13;&#10;HZwOTkvf311qdaOuNSDRqBVg4WeulrbQtfsPu0Sth+x+hIy1FlF4OZvPpvN4ihEF2yKKJ0k870Cl&#13;&#10;JSD/KI6Wb78RGQwLBw+20yhoELPBwHwfBjclUcxDa1LA4FqjKof+XUAlgtTQqB+hdYhYcYbcSw+O&#13;&#10;9xyhMqkB1J6PUzIPQ+hAh1M0OY5mMIGsY7UkVdrYSyZr5AYZ1rAB31Lk7srYznVwcasayav8ouLc&#13;&#10;T9x5YedcozsCnU4oZcJG/QIPPLlw/kK6yC6pewNYD/X4kb3nzPlx8ZEVAA380rHfjD+YjxfyeyhJ&#13;&#10;zrr1Eyh1KG+M8MX6hM67gPXH3NHXcne77P1dKPPnegwOvx08RviVpbBjcF0Jqfcl4CN8Rec/gNRB&#13;&#10;41BayvweGkfLjlWMohcV/HRXxNhrooFG4OcGarQf4FFw2WRY9iOMSqm/7Hvv/KGzwYpRA7SUYfN5&#13;&#10;TTTDiL8T0POLaDp1POYn0+Q4honetiy3LWJdn0vohwhIWFE/dP6WD8NCy/oTMOiZWxVMRFBYO8PU&#13;&#10;6mFybju6BA6m7OzMuwF3KWKvxI2iLrlD1bXmbfuJaNX3rwWKeC+Hc0bSnTbufF2kkGdrK4vK9/gG&#13;&#10;1x5vOPOOmF7k8Cf7Dn9ywOGfhovpZCDCDVVuUUASxgu4v35TwEAvPycF2HbZAj9tuvZl2cATwEgH&#13;&#10;x5Mo2fDBYNsiBPA8mBGWvyAfzAY+uHVn+C/ZghaY7dABsi0YHAv2ffCEKph5lfTw8oerbBRDW9wQ&#13;&#10;H8fw52XUfyMPlqsnpAGCO2o2SbobdVcjDBdvr0Zcz3e1+tEexfCMi3m/HHhG4EvLgfyfAbIn5YDj&#13;&#10;gk5FDq3wfwiE4dh3CqGXC51CGEwdI/SmgwnhB5MI/msBPpK8yuw/6NxX2PbcS4rNZ+fpvwAAAP//&#13;&#10;AwBQSwMEFAAGAAgAAAAhADvSDyXfAAAADAEAAA8AAABkcnMvZG93bnJldi54bWxMjzFvwjAQhfdK&#13;&#10;/Q/WVepWnNAqikIcVIFgagcIC5uxr0lEfI5iA+m/79GlXZ7u9HTv3lcuJ9eLK46h86QgnSUgkIy3&#13;&#10;HTUKDvXmJQcRoiare0+o4BsDLKvHh1IX1t9oh9d9bASHUCi0gjbGoZAymBadDjM/ILH35UenI69j&#13;&#10;I+2obxzuejlPkkw63RF/aPWAqxbNeX9xCs67z4CrTd0cjDNdNn1s58faKfX8NK0XLO8LEBGn+HcB&#13;&#10;dwbuDxUXO/kL2SB6BUwTf/XuJXmagjjx9Paa5SCrUv6HqH4AAAD//wMAUEsBAi0AFAAGAAgAAAAh&#13;&#10;ALaDOJL+AAAA4QEAABMAAAAAAAAAAAAAAAAAAAAAAFtDb250ZW50X1R5cGVzXS54bWxQSwECLQAU&#13;&#10;AAYACAAAACEAOP0h/9YAAACUAQAACwAAAAAAAAAAAAAAAAAvAQAAX3JlbHMvLnJlbHNQSwECLQAU&#13;&#10;AAYACAAAACEA2LsV2asDAAC+DgAADgAAAAAAAAAAAAAAAAAuAgAAZHJzL2Uyb0RvYy54bWxQSwEC&#13;&#10;LQAUAAYACAAAACEAO9IPJd8AAAAMAQAADwAAAAAAAAAAAAAAAAAFBgAAZHJzL2Rvd25yZXYueG1s&#13;&#10;UEsFBgAAAAAEAAQA8wAAABEHAAAAAA==&#13;&#10;">
                    <v:rect id="Rectangle 194" o:spid="_x0000_s1027" style="position:absolute;width:68580;height:1371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ezttygAAAOEAAAAPAAAAZHJzL2Rvd25yZXYueG1sRI/BasJA&#13;&#10;EIbvgu+wjNBb3VSL1egqYhFKKUKjHrwN2TGbmp0N2W1M+/RdoeBlmOHn/4ZvsepsJVpqfOlYwdMw&#13;&#10;AUGcO11yoeCw3z5OQfiArLFyTAp+yMNq2e8tMNXuyp/UZqEQEcI+RQUmhDqV0ueGLPqhq4ljdnaN&#13;&#10;xRDPppC6wWuE20qOkmQiLZYcPxisaWMov2TfVsH718s4M+26/R3v6Gjc8eO03XilHgbd6zyO9RxE&#13;&#10;oC7cG/+INx0dZs9wM4obyOUfAAAA//8DAFBLAQItABQABgAIAAAAIQDb4fbL7gAAAIUBAAATAAAA&#13;&#10;AAAAAAAAAAAAAAAAAABbQ29udGVudF9UeXBlc10ueG1sUEsBAi0AFAAGAAgAAAAhAFr0LFu/AAAA&#13;&#10;FQEAAAsAAAAAAAAAAAAAAAAAHwEAAF9yZWxzLy5yZWxzUEsBAi0AFAAGAAgAAAAhAAJ7O23KAAAA&#13;&#10;4QAAAA8AAAAAAAAAAAAAAAAABwIAAGRycy9kb3ducmV2LnhtbFBLBQYAAAAAAwADALcAAAD+AgAA&#13;&#10;AAA=&#13;&#10;" fillcolor="#156082 [3204]" stroked="f" strokeweight="1pt"/>
                    <v:rect id="Rectangle 195" o:spid="_x0000_s1028" style="position:absolute;top:40943;width:68580;height:50292;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JXF3ygAAAOEAAAAPAAAAZHJzL2Rvd25yZXYueG1sRI/BasJA&#13;&#10;EIbvQt9hGaGXoptKKxpdpVQKtYhozMXbmB2zodnZkN1qfPtuoeBlmOHn/4ZvvuxsLS7U+sqxgudh&#13;&#10;AoK4cLriUkF++BhMQPiArLF2TApu5GG5eOjNMdXuynu6ZKEUEcI+RQUmhCaV0heGLPqha4hjdnat&#13;&#10;xRDPtpS6xWuE21qOkmQsLVYcPxhs6N1Q8Z39WAVZvspPFF6mX9vj2u3yJ7PbjDqlHvvdahbH2wxE&#13;&#10;oC7cG/+ITx0dpq/wZxQ3kItfAAAA//8DAFBLAQItABQABgAIAAAAIQDb4fbL7gAAAIUBAAATAAAA&#13;&#10;AAAAAAAAAAAAAAAAAABbQ29udGVudF9UeXBlc10ueG1sUEsBAi0AFAAGAAgAAAAhAFr0LFu/AAAA&#13;&#10;FQEAAAsAAAAAAAAAAAAAAAAAHwEAAF9yZWxzLy5yZWxzUEsBAi0AFAAGAAgAAAAhAOElcXfKAAAA&#13;&#10;4QAAAA8AAAAAAAAAAAAAAAAABwIAAGRycy9kb3ducmV2LnhtbFBLBQYAAAAAAwADALcAAAD+AgAA&#13;&#10;AAA=&#13;&#10;" fillcolor="#156082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0786EAFE" w14:textId="4C4A28CD" w:rsidR="00FF2B8D" w:rsidRDefault="00FF2B8D">
                                <w:pPr>
                                  <w:pStyle w:val="NoSpacing"/>
                                  <w:spacing w:before="120"/>
                                  <w:jc w:val="center"/>
                                  <w:rPr>
                                    <w:color w:val="FFFFFF" w:themeColor="background1"/>
                                  </w:rPr>
                                </w:pPr>
                                <w:r>
                                  <w:rPr>
                                    <w:color w:val="FFFFFF" w:themeColor="background1"/>
                                  </w:rPr>
                                  <w:t xml:space="preserve">Parth </w:t>
                                </w:r>
                                <w:proofErr w:type="spellStart"/>
                                <w:r>
                                  <w:rPr>
                                    <w:color w:val="FFFFFF" w:themeColor="background1"/>
                                  </w:rPr>
                                  <w:t>Babbar</w:t>
                                </w:r>
                                <w:proofErr w:type="spellEnd"/>
                              </w:p>
                            </w:sdtContent>
                          </w:sdt>
                          <w:p w14:paraId="5DF1CEBD" w14:textId="5B10D7CC" w:rsidR="00FF2B8D" w:rsidRDefault="00FF2B8D" w:rsidP="00FF2B8D">
                            <w:pPr>
                              <w:pStyle w:val="NoSpacing"/>
                              <w:spacing w:before="120"/>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jO9HygAAAOEAAAAPAAAAZHJzL2Rvd25yZXYueG1sRI9Na8JA&#13;&#10;EIbvhf6HZQq9FN3UgNXoJlSltB79APE2ZMdsMDsbs6um/75bKPQyzPDyPsMzL3rbiBt1vnas4HWY&#13;&#10;gCAuna65UrDffQwmIHxA1tg4JgXf5KHIHx/mmGl35w3dtqESEcI+QwUmhDaT0peGLPqha4ljdnKd&#13;&#10;xRDPrpK6w3uE20aOkmQsLdYcPxhsaWmoPG+vVsF0ETbpy+GYtp8Xu8Lqut6lb0elnp/61SyO9xmI&#13;&#10;QH34b/whvnR0mI7h1yhuIPMfAAAA//8DAFBLAQItABQABgAIAAAAIQDb4fbL7gAAAIUBAAATAAAA&#13;&#10;AAAAAAAAAAAAAAAAAABbQ29udGVudF9UeXBlc10ueG1sUEsBAi0AFAAGAAgAAAAhAFr0LFu/AAAA&#13;&#10;FQEAAAsAAAAAAAAAAAAAAAAAHwEAAF9yZWxzLy5yZWxzUEsBAi0AFAAGAAgAAAAhAEiM70fKAAAA&#13;&#10;4QAAAA8AAAAAAAAAAAAAAAAABwIAAGRycy9kb3ducmV2LnhtbFBLBQYAAAAAAwADALcAAAD+AgAA&#13;&#10;AAA=&#13;&#10;" fillcolor="white [3212]" stroked="f" strokeweight=".5pt">
                      <v:textbox inset="36pt,7.2pt,36pt,7.2pt">
                        <w:txbxContent>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12E93382" w14:textId="0C4CD4FE" w:rsidR="00FF2B8D" w:rsidRDefault="00FF2B8D">
                                <w:pPr>
                                  <w:pStyle w:val="NoSpacing"/>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investment banking operation</w:t>
                                </w:r>
                              </w:p>
                            </w:sdtContent>
                          </w:sdt>
                        </w:txbxContent>
                      </v:textbox>
                    </v:shape>
                    <w10:wrap anchorx="page" anchory="page"/>
                  </v:group>
                </w:pict>
              </mc:Fallback>
            </mc:AlternateContent>
          </w:r>
        </w:p>
        <w:p w14:paraId="3F22D989" w14:textId="7A24B500" w:rsidR="00FF2B8D" w:rsidRDefault="00FF2B8D">
          <w:r>
            <w:br w:type="page"/>
          </w:r>
        </w:p>
      </w:sdtContent>
    </w:sdt>
    <w:p w14:paraId="04012780" w14:textId="77777777" w:rsidR="00FF2B8D" w:rsidRDefault="00FF2B8D" w:rsidP="00FF2B8D">
      <w:pPr>
        <w:spacing w:before="100" w:beforeAutospacing="1" w:after="100" w:afterAutospacing="1" w:line="240" w:lineRule="auto"/>
        <w:outlineLvl w:val="2"/>
        <w:rPr>
          <w:b/>
          <w:bCs/>
          <w:sz w:val="32"/>
          <w:szCs w:val="32"/>
        </w:rPr>
      </w:pPr>
      <w:r>
        <w:rPr>
          <w:b/>
          <w:bCs/>
          <w:sz w:val="32"/>
          <w:szCs w:val="32"/>
        </w:rPr>
        <w:lastRenderedPageBreak/>
        <w:t>Introduction:</w:t>
      </w:r>
    </w:p>
    <w:p w14:paraId="3B550D5A" w14:textId="77777777" w:rsidR="00FF2B8D" w:rsidRDefault="00FF2B8D" w:rsidP="00FF2B8D">
      <w:pPr>
        <w:spacing w:before="100" w:beforeAutospacing="1" w:after="100" w:afterAutospacing="1" w:line="240" w:lineRule="auto"/>
        <w:outlineLvl w:val="2"/>
      </w:pPr>
      <w:r>
        <w:t>Investment banks are financial firms that specialise in big and sophisticated transactions, such as underwriting new debt and equity instruments, arranging mergers and acquisitions, and offering investment advice services. They play an important role in the financial system by assisting firms in obtaining money, facilitating securities transactions, and providing strategic financial advice to organisations and people. These services improve the efficiency and stability of the financial markets.</w:t>
      </w:r>
    </w:p>
    <w:p w14:paraId="48EE03D8" w14:textId="77777777" w:rsidR="00FF2B8D" w:rsidRDefault="00FF2B8D" w:rsidP="00FF2B8D">
      <w:pPr>
        <w:spacing w:before="100" w:beforeAutospacing="1" w:after="100" w:afterAutospacing="1" w:line="240" w:lineRule="auto"/>
        <w:outlineLvl w:val="2"/>
        <w:rPr>
          <w:b/>
          <w:bCs/>
          <w:sz w:val="32"/>
          <w:szCs w:val="32"/>
        </w:rPr>
      </w:pPr>
      <w:r w:rsidRPr="00BA5231">
        <w:rPr>
          <w:b/>
          <w:bCs/>
          <w:sz w:val="32"/>
          <w:szCs w:val="32"/>
        </w:rPr>
        <w:t>Core Operations:</w:t>
      </w:r>
    </w:p>
    <w:p w14:paraId="6E16609D" w14:textId="77777777" w:rsidR="00FF2B8D" w:rsidRPr="0045789A" w:rsidRDefault="00FF2B8D" w:rsidP="00FF2B8D">
      <w:pPr>
        <w:pStyle w:val="ListParagraph"/>
        <w:numPr>
          <w:ilvl w:val="0"/>
          <w:numId w:val="1"/>
        </w:numPr>
        <w:spacing w:before="100" w:beforeAutospacing="1" w:after="100" w:afterAutospacing="1" w:line="240" w:lineRule="auto"/>
        <w:outlineLvl w:val="2"/>
        <w:rPr>
          <w:rFonts w:eastAsia="Times New Roman" w:cs="Times New Roman"/>
          <w:b/>
          <w:bCs/>
          <w:kern w:val="0"/>
          <w:lang w:eastAsia="en-GB"/>
          <w14:ligatures w14:val="none"/>
        </w:rPr>
      </w:pPr>
      <w:r>
        <w:rPr>
          <w:rFonts w:eastAsia="Times New Roman" w:cs="Times New Roman"/>
          <w:b/>
          <w:bCs/>
          <w:kern w:val="0"/>
          <w:lang w:eastAsia="en-GB"/>
          <w14:ligatures w14:val="none"/>
        </w:rPr>
        <w:t xml:space="preserve">Underwriting: </w:t>
      </w:r>
      <w:r>
        <w:t>Investment banks help corporations and governments raise funds through Initial Public Offerings (IPOs) and debt issuance. IPOs allow firms to go public by underwriting and distributing shares. They underwrite corporate bonds and other financial products. Underwriting is the process of acquiring the complete issue of securities from the issuer and selling them to investors. In 2023, US investment banks underwrote $1.5 trillion in debt and equity transactions.</w:t>
      </w:r>
      <w:r>
        <w:br/>
      </w:r>
    </w:p>
    <w:p w14:paraId="6B855D7F" w14:textId="77777777" w:rsidR="00FF2B8D" w:rsidRPr="0045789A" w:rsidRDefault="00FF2B8D" w:rsidP="00FF2B8D">
      <w:pPr>
        <w:pStyle w:val="ListParagraph"/>
        <w:numPr>
          <w:ilvl w:val="0"/>
          <w:numId w:val="1"/>
        </w:numPr>
        <w:spacing w:before="100" w:beforeAutospacing="1" w:after="100" w:afterAutospacing="1" w:line="240" w:lineRule="auto"/>
        <w:outlineLvl w:val="2"/>
        <w:rPr>
          <w:rFonts w:eastAsia="Times New Roman" w:cs="Times New Roman"/>
          <w:b/>
          <w:bCs/>
          <w:kern w:val="0"/>
          <w:lang w:eastAsia="en-GB"/>
          <w14:ligatures w14:val="none"/>
        </w:rPr>
      </w:pPr>
      <w:r>
        <w:rPr>
          <w:rFonts w:eastAsia="Times New Roman" w:cs="Times New Roman"/>
          <w:b/>
          <w:bCs/>
          <w:kern w:val="0"/>
          <w:lang w:eastAsia="en-GB"/>
          <w14:ligatures w14:val="none"/>
        </w:rPr>
        <w:t>Mergers &amp; Acquisitions:</w:t>
      </w:r>
      <w:r>
        <w:rPr>
          <w:rFonts w:eastAsia="Times New Roman" w:cs="Times New Roman"/>
          <w:lang w:eastAsia="en-GB"/>
        </w:rPr>
        <w:t xml:space="preserve"> </w:t>
      </w:r>
      <w:r>
        <w:t>Investment banks play an important role in enabling complicated financial transactions, including mergers, acquisitions, and corporate restructurings. They provide critical advice services like as appraisal, negotiation, and due diligence. Investment banks thrive in executing these deals, ensuring that customers' goals are met. The US M&amp;A market was strong in 2023, with over 12,000 deals worth at $2.4 trillion, emphasising the critical role that investment banks play in influencing company strategy and market dynamics.</w:t>
      </w:r>
      <w:r>
        <w:br/>
      </w:r>
    </w:p>
    <w:p w14:paraId="7660B1B7" w14:textId="77777777" w:rsidR="00FF2B8D" w:rsidRPr="0045789A" w:rsidRDefault="00FF2B8D" w:rsidP="00FF2B8D">
      <w:pPr>
        <w:pStyle w:val="ListParagraph"/>
        <w:numPr>
          <w:ilvl w:val="0"/>
          <w:numId w:val="1"/>
        </w:numPr>
        <w:spacing w:before="100" w:beforeAutospacing="1" w:after="100" w:afterAutospacing="1" w:line="240" w:lineRule="auto"/>
        <w:outlineLvl w:val="2"/>
        <w:rPr>
          <w:rFonts w:eastAsia="Times New Roman" w:cs="Times New Roman"/>
          <w:b/>
          <w:bCs/>
          <w:kern w:val="0"/>
          <w:lang w:eastAsia="en-GB"/>
          <w14:ligatures w14:val="none"/>
        </w:rPr>
      </w:pPr>
      <w:r>
        <w:rPr>
          <w:rFonts w:eastAsia="Times New Roman" w:cs="Times New Roman"/>
          <w:b/>
          <w:bCs/>
          <w:kern w:val="0"/>
          <w:lang w:eastAsia="en-GB"/>
          <w14:ligatures w14:val="none"/>
        </w:rPr>
        <w:t>Sales &amp; Trading:</w:t>
      </w:r>
      <w:r>
        <w:rPr>
          <w:rFonts w:eastAsia="Times New Roman" w:cs="Times New Roman"/>
          <w:lang w:eastAsia="en-GB"/>
        </w:rPr>
        <w:t xml:space="preserve"> </w:t>
      </w:r>
      <w:r>
        <w:t>Investment banks act as financial market middlemen, generating liquidity by buying and selling securities. They also engage in proprietary trading, which involves trading financial products such as stocks, bonds, derivatives, and commodities using their own cash. Furthermore, investment banks provide brokerage services, executing deals on behalf of their clients. In 2023, US investment banks made roughly $120 billion in trading income, highlighting their importance in financial markets and capacity to manage and benefit from market swings.</w:t>
      </w:r>
      <w:r>
        <w:br/>
      </w:r>
    </w:p>
    <w:p w14:paraId="768EBEED" w14:textId="77777777" w:rsidR="00FF2B8D" w:rsidRPr="0045789A" w:rsidRDefault="00FF2B8D" w:rsidP="00FF2B8D">
      <w:pPr>
        <w:pStyle w:val="ListParagraph"/>
        <w:numPr>
          <w:ilvl w:val="0"/>
          <w:numId w:val="1"/>
        </w:numPr>
        <w:spacing w:before="100" w:beforeAutospacing="1" w:after="100" w:afterAutospacing="1" w:line="240" w:lineRule="auto"/>
        <w:outlineLvl w:val="2"/>
        <w:rPr>
          <w:rFonts w:eastAsia="Times New Roman" w:cs="Times New Roman"/>
          <w:b/>
          <w:bCs/>
          <w:kern w:val="0"/>
          <w:lang w:eastAsia="en-GB"/>
          <w14:ligatures w14:val="none"/>
        </w:rPr>
      </w:pPr>
      <w:r>
        <w:rPr>
          <w:rFonts w:eastAsia="Times New Roman" w:cs="Times New Roman"/>
          <w:b/>
          <w:bCs/>
          <w:kern w:val="0"/>
          <w:lang w:eastAsia="en-GB"/>
          <w14:ligatures w14:val="none"/>
        </w:rPr>
        <w:t>Asset Management:</w:t>
      </w:r>
      <w:r>
        <w:rPr>
          <w:rFonts w:eastAsia="Times New Roman" w:cs="Times New Roman"/>
          <w:lang w:eastAsia="en-GB"/>
        </w:rPr>
        <w:t xml:space="preserve"> </w:t>
      </w:r>
      <w:r>
        <w:t>Investment banks play an important role in asset management by supervising investments for customers through portfolio management and consulting services. They manage a wide range of investment vehicles, including mutual funds and hedge funds, to serve to different investment strategies and risk profiles. Additionally, investment banks provide wealth management services, including personalised investment advice and thorough portfolio management. In 2023, US investment banks jointly handled assets worth $25 trillion, demonstrating their tremendous influence in the global financial ecosystem and capacity to manage significant wealth for customers.</w:t>
      </w:r>
      <w:r>
        <w:br/>
      </w:r>
    </w:p>
    <w:p w14:paraId="5D3F7744" w14:textId="77777777" w:rsidR="00FF2B8D" w:rsidRPr="0045789A" w:rsidRDefault="00FF2B8D" w:rsidP="00FF2B8D">
      <w:pPr>
        <w:pStyle w:val="ListParagraph"/>
        <w:numPr>
          <w:ilvl w:val="0"/>
          <w:numId w:val="1"/>
        </w:numPr>
        <w:spacing w:before="100" w:beforeAutospacing="1" w:after="100" w:afterAutospacing="1" w:line="240" w:lineRule="auto"/>
        <w:outlineLvl w:val="2"/>
        <w:rPr>
          <w:rFonts w:eastAsia="Times New Roman" w:cs="Times New Roman"/>
          <w:b/>
          <w:bCs/>
          <w:kern w:val="0"/>
          <w:lang w:eastAsia="en-GB"/>
          <w14:ligatures w14:val="none"/>
        </w:rPr>
      </w:pPr>
      <w:r>
        <w:rPr>
          <w:rFonts w:eastAsia="Times New Roman" w:cs="Times New Roman"/>
          <w:b/>
          <w:bCs/>
          <w:kern w:val="0"/>
          <w:lang w:eastAsia="en-GB"/>
          <w14:ligatures w14:val="none"/>
        </w:rPr>
        <w:lastRenderedPageBreak/>
        <w:t>Research:</w:t>
      </w:r>
      <w:r>
        <w:rPr>
          <w:rFonts w:eastAsia="Times New Roman" w:cs="Times New Roman"/>
          <w:lang w:eastAsia="en-GB"/>
        </w:rPr>
        <w:t xml:space="preserve"> </w:t>
      </w:r>
      <w:r>
        <w:t>Investment banks do substantial research, including equity research, which examines firms and industries to make investment recommendations, and economic research, which provides macroeconomic analysis and projections. This study helps investors make informed decisions by providing useful insights into financial markets and economic developments. US investment banks jointly contribute around $5 billion per year to these research activities, demonstrating their commitment to delivering informed opinions that impact investment strategies and market results.</w:t>
      </w:r>
      <w:r>
        <w:br/>
      </w:r>
    </w:p>
    <w:p w14:paraId="66CF5E91" w14:textId="77777777" w:rsidR="00FF2B8D" w:rsidRDefault="00FF2B8D" w:rsidP="00FF2B8D">
      <w:pPr>
        <w:spacing w:before="100" w:beforeAutospacing="1" w:after="100" w:afterAutospacing="1" w:line="240" w:lineRule="auto"/>
        <w:outlineLvl w:val="3"/>
        <w:rPr>
          <w:rFonts w:eastAsia="Times New Roman" w:cs="Times New Roman"/>
          <w:b/>
          <w:bCs/>
          <w:kern w:val="0"/>
          <w:sz w:val="32"/>
          <w:szCs w:val="32"/>
          <w:lang w:eastAsia="en-GB"/>
          <w14:ligatures w14:val="none"/>
        </w:rPr>
      </w:pPr>
      <w:r w:rsidRPr="0045789A">
        <w:rPr>
          <w:rFonts w:eastAsia="Times New Roman" w:cs="Times New Roman"/>
          <w:b/>
          <w:bCs/>
          <w:kern w:val="0"/>
          <w:sz w:val="32"/>
          <w:szCs w:val="32"/>
          <w:lang w:eastAsia="en-GB"/>
          <w14:ligatures w14:val="none"/>
        </w:rPr>
        <w:t>Regulatory Environment:</w:t>
      </w:r>
    </w:p>
    <w:p w14:paraId="3C6BCBF9" w14:textId="77777777" w:rsidR="00FF2B8D" w:rsidRPr="0045789A" w:rsidRDefault="00FF2B8D" w:rsidP="00FF2B8D">
      <w:pPr>
        <w:spacing w:before="100" w:beforeAutospacing="1" w:after="100" w:afterAutospacing="1" w:line="240" w:lineRule="auto"/>
        <w:outlineLvl w:val="3"/>
        <w:rPr>
          <w:rFonts w:eastAsia="Times New Roman" w:cs="Times New Roman"/>
          <w:b/>
          <w:bCs/>
          <w:kern w:val="0"/>
          <w:sz w:val="32"/>
          <w:szCs w:val="32"/>
          <w:lang w:eastAsia="en-GB"/>
          <w14:ligatures w14:val="none"/>
        </w:rPr>
      </w:pPr>
      <w:r>
        <w:t>Investment banks are subject to laws aimed at preserving market integrity and protecting investors. The key regulatory bodies include:</w:t>
      </w:r>
    </w:p>
    <w:p w14:paraId="0E7CED7F" w14:textId="77777777" w:rsidR="00FF2B8D" w:rsidRPr="0045789A" w:rsidRDefault="00FF2B8D" w:rsidP="00FF2B8D">
      <w:pPr>
        <w:pStyle w:val="ListParagraph"/>
        <w:numPr>
          <w:ilvl w:val="0"/>
          <w:numId w:val="2"/>
        </w:numPr>
        <w:spacing w:before="100" w:beforeAutospacing="1" w:after="100" w:afterAutospacing="1" w:line="240" w:lineRule="auto"/>
        <w:rPr>
          <w:rFonts w:eastAsia="Times New Roman" w:cs="Times New Roman"/>
          <w:kern w:val="0"/>
          <w:lang w:eastAsia="en-GB"/>
          <w14:ligatures w14:val="none"/>
        </w:rPr>
      </w:pPr>
      <w:r w:rsidRPr="0045789A">
        <w:rPr>
          <w:rFonts w:eastAsia="Times New Roman" w:cs="Times New Roman"/>
          <w:b/>
          <w:bCs/>
          <w:kern w:val="0"/>
          <w:lang w:eastAsia="en-GB"/>
          <w14:ligatures w14:val="none"/>
        </w:rPr>
        <w:t>Securities and Exchange Commission (SEC</w:t>
      </w:r>
      <w:r>
        <w:rPr>
          <w:rFonts w:eastAsia="Times New Roman" w:cs="Times New Roman"/>
          <w:b/>
          <w:bCs/>
          <w:kern w:val="0"/>
          <w:lang w:eastAsia="en-GB"/>
          <w14:ligatures w14:val="none"/>
        </w:rPr>
        <w:t>)</w:t>
      </w:r>
    </w:p>
    <w:p w14:paraId="69AFD309" w14:textId="77777777" w:rsidR="00FF2B8D" w:rsidRPr="0045789A" w:rsidRDefault="00FF2B8D" w:rsidP="00FF2B8D">
      <w:pPr>
        <w:numPr>
          <w:ilvl w:val="0"/>
          <w:numId w:val="2"/>
        </w:numPr>
        <w:spacing w:before="100" w:beforeAutospacing="1" w:after="100" w:afterAutospacing="1" w:line="240" w:lineRule="auto"/>
        <w:rPr>
          <w:rFonts w:eastAsia="Times New Roman" w:cs="Times New Roman"/>
          <w:kern w:val="0"/>
          <w:lang w:eastAsia="en-GB"/>
          <w14:ligatures w14:val="none"/>
        </w:rPr>
      </w:pPr>
      <w:r w:rsidRPr="0045789A">
        <w:rPr>
          <w:rFonts w:eastAsia="Times New Roman" w:cs="Times New Roman"/>
          <w:b/>
          <w:bCs/>
          <w:kern w:val="0"/>
          <w:lang w:eastAsia="en-GB"/>
          <w14:ligatures w14:val="none"/>
        </w:rPr>
        <w:t>Financial Industry Regulatory Authority (FINRA</w:t>
      </w:r>
      <w:r>
        <w:rPr>
          <w:rFonts w:eastAsia="Times New Roman" w:cs="Times New Roman"/>
          <w:b/>
          <w:bCs/>
          <w:kern w:val="0"/>
          <w:lang w:eastAsia="en-GB"/>
          <w14:ligatures w14:val="none"/>
        </w:rPr>
        <w:t>)</w:t>
      </w:r>
    </w:p>
    <w:p w14:paraId="193FFF6D" w14:textId="77777777" w:rsidR="00FF2B8D" w:rsidRDefault="00FF2B8D" w:rsidP="00FF2B8D">
      <w:pPr>
        <w:numPr>
          <w:ilvl w:val="0"/>
          <w:numId w:val="2"/>
        </w:numPr>
        <w:spacing w:before="100" w:beforeAutospacing="1" w:after="100" w:afterAutospacing="1" w:line="240" w:lineRule="auto"/>
        <w:outlineLvl w:val="3"/>
        <w:rPr>
          <w:rFonts w:eastAsia="Times New Roman" w:cs="Times New Roman"/>
          <w:b/>
          <w:bCs/>
          <w:kern w:val="0"/>
          <w:lang w:eastAsia="en-GB"/>
          <w14:ligatures w14:val="none"/>
        </w:rPr>
      </w:pPr>
      <w:r w:rsidRPr="0045789A">
        <w:rPr>
          <w:rFonts w:eastAsia="Times New Roman" w:cs="Times New Roman"/>
          <w:b/>
          <w:bCs/>
          <w:kern w:val="0"/>
          <w:lang w:eastAsia="en-GB"/>
          <w14:ligatures w14:val="none"/>
        </w:rPr>
        <w:t>Commodity Futures Trading Commission (CFTC</w:t>
      </w:r>
      <w:r>
        <w:rPr>
          <w:rFonts w:eastAsia="Times New Roman" w:cs="Times New Roman"/>
          <w:b/>
          <w:bCs/>
          <w:kern w:val="0"/>
          <w:lang w:eastAsia="en-GB"/>
          <w14:ligatures w14:val="none"/>
        </w:rPr>
        <w:t>)</w:t>
      </w:r>
    </w:p>
    <w:p w14:paraId="4736B570" w14:textId="77777777" w:rsidR="00FF2B8D" w:rsidRDefault="00FF2B8D" w:rsidP="00FF2B8D">
      <w:pPr>
        <w:spacing w:before="100" w:beforeAutospacing="1" w:after="100" w:afterAutospacing="1" w:line="240" w:lineRule="auto"/>
        <w:outlineLvl w:val="3"/>
        <w:rPr>
          <w:rFonts w:eastAsia="Times New Roman" w:cs="Times New Roman"/>
          <w:b/>
          <w:bCs/>
          <w:kern w:val="0"/>
          <w:sz w:val="32"/>
          <w:szCs w:val="32"/>
          <w:lang w:eastAsia="en-GB"/>
          <w14:ligatures w14:val="none"/>
        </w:rPr>
      </w:pPr>
      <w:r w:rsidRPr="0045789A">
        <w:rPr>
          <w:rFonts w:eastAsia="Times New Roman" w:cs="Times New Roman"/>
          <w:b/>
          <w:bCs/>
          <w:kern w:val="0"/>
          <w:sz w:val="32"/>
          <w:szCs w:val="32"/>
          <w:lang w:eastAsia="en-GB"/>
          <w14:ligatures w14:val="none"/>
        </w:rPr>
        <w:t>Key Players:</w:t>
      </w:r>
    </w:p>
    <w:p w14:paraId="18DB7669" w14:textId="77777777" w:rsidR="00FF2B8D" w:rsidRPr="0045789A" w:rsidRDefault="00FF2B8D" w:rsidP="00FF2B8D">
      <w:pPr>
        <w:pStyle w:val="ListParagraph"/>
        <w:numPr>
          <w:ilvl w:val="0"/>
          <w:numId w:val="3"/>
        </w:numPr>
        <w:spacing w:before="100" w:beforeAutospacing="1" w:after="100" w:afterAutospacing="1" w:line="240" w:lineRule="auto"/>
        <w:outlineLvl w:val="3"/>
        <w:rPr>
          <w:rFonts w:eastAsia="Times New Roman" w:cs="Times New Roman"/>
          <w:b/>
          <w:bCs/>
          <w:kern w:val="0"/>
          <w:sz w:val="32"/>
          <w:szCs w:val="32"/>
          <w:lang w:eastAsia="en-GB"/>
          <w14:ligatures w14:val="none"/>
        </w:rPr>
      </w:pPr>
      <w:r w:rsidRPr="0045789A">
        <w:rPr>
          <w:rFonts w:eastAsia="Times New Roman" w:cs="Times New Roman"/>
          <w:b/>
          <w:bCs/>
          <w:kern w:val="0"/>
          <w:lang w:eastAsia="en-GB"/>
          <w14:ligatures w14:val="none"/>
        </w:rPr>
        <w:t>Goldman Sachs</w:t>
      </w:r>
    </w:p>
    <w:p w14:paraId="365A6320" w14:textId="77777777" w:rsidR="00FF2B8D" w:rsidRPr="0045789A" w:rsidRDefault="00FF2B8D" w:rsidP="00FF2B8D">
      <w:pPr>
        <w:numPr>
          <w:ilvl w:val="0"/>
          <w:numId w:val="3"/>
        </w:numPr>
        <w:spacing w:before="100" w:beforeAutospacing="1" w:after="100" w:afterAutospacing="1" w:line="240" w:lineRule="auto"/>
        <w:rPr>
          <w:rFonts w:eastAsia="Times New Roman" w:cs="Times New Roman"/>
          <w:kern w:val="0"/>
          <w:lang w:eastAsia="en-GB"/>
          <w14:ligatures w14:val="none"/>
        </w:rPr>
      </w:pPr>
      <w:r w:rsidRPr="0045789A">
        <w:rPr>
          <w:rFonts w:eastAsia="Times New Roman" w:cs="Times New Roman"/>
          <w:b/>
          <w:bCs/>
          <w:kern w:val="0"/>
          <w:lang w:eastAsia="en-GB"/>
          <w14:ligatures w14:val="none"/>
        </w:rPr>
        <w:t>Morgan Stanley</w:t>
      </w:r>
    </w:p>
    <w:p w14:paraId="44999951" w14:textId="77777777" w:rsidR="00FF2B8D" w:rsidRPr="0045789A" w:rsidRDefault="00FF2B8D" w:rsidP="00FF2B8D">
      <w:pPr>
        <w:numPr>
          <w:ilvl w:val="0"/>
          <w:numId w:val="3"/>
        </w:numPr>
        <w:spacing w:before="100" w:beforeAutospacing="1" w:after="100" w:afterAutospacing="1" w:line="240" w:lineRule="auto"/>
        <w:rPr>
          <w:rFonts w:eastAsia="Times New Roman" w:cs="Times New Roman"/>
          <w:kern w:val="0"/>
          <w:lang w:eastAsia="en-GB"/>
          <w14:ligatures w14:val="none"/>
        </w:rPr>
      </w:pPr>
      <w:r w:rsidRPr="0045789A">
        <w:rPr>
          <w:rFonts w:eastAsia="Times New Roman" w:cs="Times New Roman"/>
          <w:b/>
          <w:bCs/>
          <w:kern w:val="0"/>
          <w:lang w:eastAsia="en-GB"/>
          <w14:ligatures w14:val="none"/>
        </w:rPr>
        <w:t>JPMorgan Chase (Investment Banking Division</w:t>
      </w:r>
      <w:r>
        <w:rPr>
          <w:rFonts w:eastAsia="Times New Roman" w:cs="Times New Roman"/>
          <w:b/>
          <w:bCs/>
          <w:kern w:val="0"/>
          <w:lang w:eastAsia="en-GB"/>
          <w14:ligatures w14:val="none"/>
        </w:rPr>
        <w:t>)</w:t>
      </w:r>
    </w:p>
    <w:p w14:paraId="539B9855" w14:textId="77777777" w:rsidR="00FF2B8D" w:rsidRPr="0045789A" w:rsidRDefault="00FF2B8D" w:rsidP="00FF2B8D">
      <w:pPr>
        <w:numPr>
          <w:ilvl w:val="0"/>
          <w:numId w:val="3"/>
        </w:numPr>
        <w:spacing w:before="100" w:beforeAutospacing="1" w:after="100" w:afterAutospacing="1" w:line="240" w:lineRule="auto"/>
        <w:rPr>
          <w:rFonts w:eastAsia="Times New Roman" w:cs="Times New Roman"/>
          <w:kern w:val="0"/>
          <w:lang w:eastAsia="en-GB"/>
          <w14:ligatures w14:val="none"/>
        </w:rPr>
      </w:pPr>
      <w:r w:rsidRPr="0045789A">
        <w:rPr>
          <w:rFonts w:eastAsia="Times New Roman" w:cs="Times New Roman"/>
          <w:b/>
          <w:bCs/>
          <w:kern w:val="0"/>
          <w:lang w:eastAsia="en-GB"/>
          <w14:ligatures w14:val="none"/>
        </w:rPr>
        <w:t>Bank of America Merrill Lynch</w:t>
      </w:r>
    </w:p>
    <w:p w14:paraId="132FE1E7" w14:textId="77777777" w:rsidR="00FF2B8D" w:rsidRPr="0045789A" w:rsidRDefault="00FF2B8D" w:rsidP="00FF2B8D">
      <w:pPr>
        <w:numPr>
          <w:ilvl w:val="0"/>
          <w:numId w:val="3"/>
        </w:numPr>
        <w:spacing w:before="100" w:beforeAutospacing="1" w:after="100" w:afterAutospacing="1" w:line="240" w:lineRule="auto"/>
        <w:rPr>
          <w:rFonts w:eastAsia="Times New Roman" w:cs="Times New Roman"/>
          <w:kern w:val="0"/>
          <w:lang w:eastAsia="en-GB"/>
          <w14:ligatures w14:val="none"/>
        </w:rPr>
      </w:pPr>
      <w:r w:rsidRPr="0045789A">
        <w:rPr>
          <w:rFonts w:eastAsia="Times New Roman" w:cs="Times New Roman"/>
          <w:b/>
          <w:bCs/>
          <w:kern w:val="0"/>
          <w:lang w:eastAsia="en-GB"/>
          <w14:ligatures w14:val="none"/>
        </w:rPr>
        <w:t>Citigroup (Citi Investment Banking</w:t>
      </w:r>
      <w:r>
        <w:rPr>
          <w:rFonts w:eastAsia="Times New Roman" w:cs="Times New Roman"/>
          <w:b/>
          <w:bCs/>
          <w:kern w:val="0"/>
          <w:lang w:eastAsia="en-GB"/>
          <w14:ligatures w14:val="none"/>
        </w:rPr>
        <w:t>)</w:t>
      </w:r>
      <w:r>
        <w:rPr>
          <w:rFonts w:eastAsia="Times New Roman" w:cs="Times New Roman"/>
          <w:b/>
          <w:bCs/>
          <w:kern w:val="0"/>
          <w:lang w:eastAsia="en-GB"/>
          <w14:ligatures w14:val="none"/>
        </w:rPr>
        <w:br/>
      </w:r>
      <w:r w:rsidRPr="00966C4C">
        <w:rPr>
          <w:rFonts w:eastAsia="Times New Roman" w:cs="Times New Roman"/>
          <w:kern w:val="0"/>
          <w:lang w:eastAsia="en-GB"/>
          <w14:ligatures w14:val="none"/>
        </w:rPr>
        <w:drawing>
          <wp:inline distT="0" distB="0" distL="0" distR="0" wp14:anchorId="4B3E8896" wp14:editId="390AC4A6">
            <wp:extent cx="1739900" cy="1676400"/>
            <wp:effectExtent l="0" t="0" r="0" b="0"/>
            <wp:docPr id="1700582990"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582990" name="Picture 1" descr="A screenshot of a phone&#10;&#10;Description automatically generated"/>
                    <pic:cNvPicPr/>
                  </pic:nvPicPr>
                  <pic:blipFill>
                    <a:blip r:embed="rId5"/>
                    <a:stretch>
                      <a:fillRect/>
                    </a:stretch>
                  </pic:blipFill>
                  <pic:spPr>
                    <a:xfrm>
                      <a:off x="0" y="0"/>
                      <a:ext cx="1739900" cy="1676400"/>
                    </a:xfrm>
                    <a:prstGeom prst="rect">
                      <a:avLst/>
                    </a:prstGeom>
                  </pic:spPr>
                </pic:pic>
              </a:graphicData>
            </a:graphic>
          </wp:inline>
        </w:drawing>
      </w:r>
    </w:p>
    <w:p w14:paraId="2EFA1969" w14:textId="77777777" w:rsidR="00FF2B8D" w:rsidRDefault="00FF2B8D" w:rsidP="00FF2B8D">
      <w:pPr>
        <w:spacing w:before="100" w:beforeAutospacing="1" w:after="100" w:afterAutospacing="1" w:line="240" w:lineRule="auto"/>
      </w:pPr>
      <w:r w:rsidRPr="0045789A">
        <w:rPr>
          <w:b/>
          <w:bCs/>
          <w:sz w:val="32"/>
          <w:szCs w:val="32"/>
        </w:rPr>
        <w:t>Latest Trends &amp; Developments:</w:t>
      </w:r>
    </w:p>
    <w:p w14:paraId="4BAD975A" w14:textId="77777777" w:rsidR="00FF2B8D" w:rsidRPr="0045789A" w:rsidRDefault="00FF2B8D" w:rsidP="00FF2B8D">
      <w:pPr>
        <w:pStyle w:val="ListParagraph"/>
        <w:numPr>
          <w:ilvl w:val="0"/>
          <w:numId w:val="4"/>
        </w:numPr>
        <w:spacing w:before="100" w:beforeAutospacing="1" w:after="100" w:afterAutospacing="1" w:line="240" w:lineRule="auto"/>
        <w:rPr>
          <w:rFonts w:eastAsia="Times New Roman" w:cs="Times New Roman"/>
          <w:kern w:val="0"/>
          <w:lang w:eastAsia="en-GB"/>
          <w14:ligatures w14:val="none"/>
        </w:rPr>
      </w:pPr>
      <w:r w:rsidRPr="0045789A">
        <w:rPr>
          <w:b/>
          <w:bCs/>
        </w:rPr>
        <w:t xml:space="preserve">Tech-Driven Innovation: </w:t>
      </w:r>
      <w:r>
        <w:t>The use of artificial intelligence and big data analytics to trading and advising services.</w:t>
      </w:r>
      <w:r>
        <w:br/>
      </w:r>
    </w:p>
    <w:p w14:paraId="5D94391A" w14:textId="77777777" w:rsidR="00FF2B8D" w:rsidRPr="0045789A" w:rsidRDefault="00FF2B8D" w:rsidP="00FF2B8D">
      <w:pPr>
        <w:pStyle w:val="ListParagraph"/>
        <w:numPr>
          <w:ilvl w:val="0"/>
          <w:numId w:val="4"/>
        </w:numPr>
        <w:spacing w:before="100" w:beforeAutospacing="1" w:after="100" w:afterAutospacing="1" w:line="240" w:lineRule="auto"/>
        <w:rPr>
          <w:rFonts w:eastAsia="Times New Roman" w:cs="Times New Roman"/>
          <w:kern w:val="0"/>
          <w:lang w:eastAsia="en-GB"/>
          <w14:ligatures w14:val="none"/>
        </w:rPr>
      </w:pPr>
      <w:r w:rsidRPr="0045789A">
        <w:rPr>
          <w:b/>
          <w:bCs/>
        </w:rPr>
        <w:t xml:space="preserve">Sustainable Finance: </w:t>
      </w:r>
      <w:r>
        <w:t xml:space="preserve">A greater emphasis on green bonds and sustainable </w:t>
      </w:r>
      <w:r>
        <w:br/>
        <w:t>investment products.</w:t>
      </w:r>
      <w:r>
        <w:br/>
      </w:r>
    </w:p>
    <w:p w14:paraId="1A5F7962" w14:textId="77777777" w:rsidR="00FF2B8D" w:rsidRPr="0045789A" w:rsidRDefault="00FF2B8D" w:rsidP="00FF2B8D">
      <w:pPr>
        <w:pStyle w:val="ListParagraph"/>
        <w:numPr>
          <w:ilvl w:val="0"/>
          <w:numId w:val="4"/>
        </w:numPr>
        <w:spacing w:before="100" w:beforeAutospacing="1" w:after="100" w:afterAutospacing="1" w:line="240" w:lineRule="auto"/>
        <w:rPr>
          <w:rFonts w:eastAsia="Times New Roman" w:cs="Times New Roman"/>
          <w:kern w:val="0"/>
          <w:lang w:eastAsia="en-GB"/>
          <w14:ligatures w14:val="none"/>
        </w:rPr>
      </w:pPr>
      <w:r w:rsidRPr="0045789A">
        <w:rPr>
          <w:b/>
          <w:bCs/>
        </w:rPr>
        <w:lastRenderedPageBreak/>
        <w:t xml:space="preserve">Regulatory Compliance: </w:t>
      </w:r>
      <w:r>
        <w:t>Increased compliance procedures in response to stringent regulatory obligations.</w:t>
      </w:r>
      <w:r>
        <w:br/>
      </w:r>
    </w:p>
    <w:p w14:paraId="5BC05D65" w14:textId="77777777" w:rsidR="00FF2B8D" w:rsidRDefault="00FF2B8D" w:rsidP="00FF2B8D">
      <w:pPr>
        <w:pStyle w:val="ListParagraph"/>
        <w:numPr>
          <w:ilvl w:val="0"/>
          <w:numId w:val="4"/>
        </w:numPr>
        <w:spacing w:before="100" w:beforeAutospacing="1" w:after="100" w:afterAutospacing="1" w:line="240" w:lineRule="auto"/>
        <w:rPr>
          <w:rFonts w:eastAsia="Times New Roman" w:cs="Times New Roman"/>
          <w:kern w:val="0"/>
          <w:lang w:eastAsia="en-GB"/>
          <w14:ligatures w14:val="none"/>
        </w:rPr>
      </w:pPr>
      <w:r w:rsidRPr="0045789A">
        <w:rPr>
          <w:b/>
          <w:bCs/>
        </w:rPr>
        <w:t xml:space="preserve">Global Expansion: </w:t>
      </w:r>
      <w:r>
        <w:t>Expanding operations into developing areas to capitalise on growth prospects.</w:t>
      </w:r>
      <w:r>
        <w:br/>
      </w:r>
    </w:p>
    <w:p w14:paraId="7DCBDFC0" w14:textId="77777777" w:rsidR="00FF2B8D" w:rsidRDefault="00FF2B8D" w:rsidP="00FF2B8D">
      <w:pPr>
        <w:spacing w:before="100" w:beforeAutospacing="1" w:after="100" w:afterAutospacing="1" w:line="240" w:lineRule="auto"/>
        <w:outlineLvl w:val="3"/>
        <w:rPr>
          <w:rFonts w:eastAsia="Times New Roman" w:cs="Times New Roman"/>
          <w:b/>
          <w:bCs/>
          <w:kern w:val="0"/>
          <w:sz w:val="32"/>
          <w:szCs w:val="32"/>
          <w:lang w:eastAsia="en-GB"/>
          <w14:ligatures w14:val="none"/>
        </w:rPr>
      </w:pPr>
      <w:r w:rsidRPr="0045789A">
        <w:rPr>
          <w:rFonts w:eastAsia="Times New Roman" w:cs="Times New Roman"/>
          <w:b/>
          <w:bCs/>
          <w:kern w:val="0"/>
          <w:sz w:val="32"/>
          <w:szCs w:val="32"/>
          <w:lang w:eastAsia="en-GB"/>
          <w14:ligatures w14:val="none"/>
        </w:rPr>
        <w:t>Statistics:</w:t>
      </w:r>
    </w:p>
    <w:p w14:paraId="1153D6D1" w14:textId="77777777" w:rsidR="00FF2B8D" w:rsidRPr="0045789A" w:rsidRDefault="00FF2B8D" w:rsidP="00FF2B8D">
      <w:pPr>
        <w:pStyle w:val="ListParagraph"/>
        <w:numPr>
          <w:ilvl w:val="0"/>
          <w:numId w:val="5"/>
        </w:numPr>
        <w:spacing w:before="100" w:beforeAutospacing="1" w:after="100" w:afterAutospacing="1" w:line="240" w:lineRule="auto"/>
        <w:outlineLvl w:val="3"/>
        <w:rPr>
          <w:rFonts w:eastAsia="Times New Roman" w:cs="Times New Roman"/>
          <w:b/>
          <w:bCs/>
          <w:kern w:val="0"/>
          <w:sz w:val="32"/>
          <w:szCs w:val="32"/>
          <w:lang w:eastAsia="en-GB"/>
          <w14:ligatures w14:val="none"/>
        </w:rPr>
      </w:pPr>
      <w:r w:rsidRPr="0045789A">
        <w:rPr>
          <w:rFonts w:eastAsia="Times New Roman" w:cs="Times New Roman"/>
          <w:b/>
          <w:bCs/>
          <w:kern w:val="0"/>
          <w:lang w:eastAsia="en-GB"/>
          <w14:ligatures w14:val="none"/>
        </w:rPr>
        <w:t>Total Revenue</w:t>
      </w:r>
      <w:r w:rsidRPr="0045789A">
        <w:rPr>
          <w:rFonts w:eastAsia="Times New Roman" w:cs="Times New Roman"/>
          <w:kern w:val="0"/>
          <w:lang w:eastAsia="en-GB"/>
          <w14:ligatures w14:val="none"/>
        </w:rPr>
        <w:t>: Approximately $1</w:t>
      </w:r>
      <w:r>
        <w:rPr>
          <w:rFonts w:eastAsia="Times New Roman" w:cs="Times New Roman"/>
          <w:kern w:val="0"/>
          <w:lang w:eastAsia="en-GB"/>
          <w14:ligatures w14:val="none"/>
        </w:rPr>
        <w:t>4</w:t>
      </w:r>
      <w:r w:rsidRPr="0045789A">
        <w:rPr>
          <w:rFonts w:eastAsia="Times New Roman" w:cs="Times New Roman"/>
          <w:kern w:val="0"/>
          <w:lang w:eastAsia="en-GB"/>
          <w14:ligatures w14:val="none"/>
        </w:rPr>
        <w:t>0 billion annually.</w:t>
      </w:r>
    </w:p>
    <w:p w14:paraId="5864D263" w14:textId="77777777" w:rsidR="00FF2B8D" w:rsidRDefault="00FF2B8D" w:rsidP="00FF2B8D">
      <w:pPr>
        <w:numPr>
          <w:ilvl w:val="0"/>
          <w:numId w:val="5"/>
        </w:numPr>
        <w:spacing w:before="100" w:beforeAutospacing="1" w:after="100" w:afterAutospacing="1" w:line="240" w:lineRule="auto"/>
        <w:rPr>
          <w:rFonts w:eastAsia="Times New Roman" w:cs="Times New Roman"/>
          <w:kern w:val="0"/>
          <w:lang w:eastAsia="en-GB"/>
          <w14:ligatures w14:val="none"/>
        </w:rPr>
      </w:pPr>
      <w:r w:rsidRPr="0045789A">
        <w:rPr>
          <w:rFonts w:eastAsia="Times New Roman" w:cs="Times New Roman"/>
          <w:b/>
          <w:bCs/>
          <w:kern w:val="0"/>
          <w:lang w:eastAsia="en-GB"/>
          <w14:ligatures w14:val="none"/>
        </w:rPr>
        <w:t>Number of Employees</w:t>
      </w:r>
      <w:r w:rsidRPr="0045789A">
        <w:rPr>
          <w:rFonts w:eastAsia="Times New Roman" w:cs="Times New Roman"/>
          <w:kern w:val="0"/>
          <w:lang w:eastAsia="en-GB"/>
          <w14:ligatures w14:val="none"/>
        </w:rPr>
        <w:t xml:space="preserve">: Around </w:t>
      </w:r>
      <w:r>
        <w:rPr>
          <w:rFonts w:eastAsia="Times New Roman" w:cs="Times New Roman"/>
          <w:kern w:val="0"/>
          <w:lang w:eastAsia="en-GB"/>
          <w14:ligatures w14:val="none"/>
        </w:rPr>
        <w:t xml:space="preserve">390,975 </w:t>
      </w:r>
      <w:r w:rsidRPr="0045789A">
        <w:rPr>
          <w:rFonts w:eastAsia="Times New Roman" w:cs="Times New Roman"/>
          <w:kern w:val="0"/>
          <w:lang w:eastAsia="en-GB"/>
          <w14:ligatures w14:val="none"/>
        </w:rPr>
        <w:t>professionals.</w:t>
      </w:r>
    </w:p>
    <w:p w14:paraId="2EE7FE3A" w14:textId="77777777" w:rsidR="00FF2B8D" w:rsidRPr="0045789A" w:rsidRDefault="00FF2B8D" w:rsidP="00FF2B8D">
      <w:pPr>
        <w:spacing w:before="100" w:beforeAutospacing="1" w:after="100" w:afterAutospacing="1" w:line="240" w:lineRule="auto"/>
        <w:ind w:left="360"/>
        <w:rPr>
          <w:rFonts w:eastAsia="Times New Roman" w:cs="Times New Roman"/>
          <w:kern w:val="0"/>
          <w:lang w:eastAsia="en-GB"/>
          <w14:ligatures w14:val="none"/>
        </w:rPr>
      </w:pPr>
      <w:r>
        <w:fldChar w:fldCharType="begin"/>
      </w:r>
      <w:r>
        <w:instrText xml:space="preserve"> INCLUDEPICTURE "https://romeromentoring.com/wp-content/uploads/2021/07/Top-10-Investment-Banks-in-the-U.S..png" \* MERGEFORMATINET </w:instrText>
      </w:r>
      <w:r>
        <w:fldChar w:fldCharType="separate"/>
      </w:r>
      <w:r>
        <w:rPr>
          <w:noProof/>
        </w:rPr>
        <w:drawing>
          <wp:inline distT="0" distB="0" distL="0" distR="0" wp14:anchorId="6D26EC31" wp14:editId="0940167B">
            <wp:extent cx="5731510" cy="1699895"/>
            <wp:effectExtent l="0" t="0" r="0" b="1905"/>
            <wp:docPr id="1172992159" name="Picture 5" descr="Top 10 Investment Banks in the U.S. - Romero Mento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op 10 Investment Banks in the U.S. - Romero Mentor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699895"/>
                    </a:xfrm>
                    <a:prstGeom prst="rect">
                      <a:avLst/>
                    </a:prstGeom>
                    <a:noFill/>
                    <a:ln>
                      <a:noFill/>
                    </a:ln>
                  </pic:spPr>
                </pic:pic>
              </a:graphicData>
            </a:graphic>
          </wp:inline>
        </w:drawing>
      </w:r>
      <w:r>
        <w:fldChar w:fldCharType="end"/>
      </w:r>
    </w:p>
    <w:p w14:paraId="1510BDE1" w14:textId="77777777" w:rsidR="00FF2B8D" w:rsidRDefault="00FF2B8D" w:rsidP="00FF2B8D">
      <w:pPr>
        <w:spacing w:before="100" w:beforeAutospacing="1" w:after="100" w:afterAutospacing="1" w:line="240" w:lineRule="auto"/>
        <w:rPr>
          <w:rFonts w:eastAsia="Times New Roman" w:cs="Times New Roman"/>
          <w:b/>
          <w:bCs/>
          <w:kern w:val="0"/>
          <w:sz w:val="32"/>
          <w:szCs w:val="32"/>
          <w:lang w:eastAsia="en-GB"/>
          <w14:ligatures w14:val="none"/>
        </w:rPr>
      </w:pPr>
      <w:r w:rsidRPr="0045789A">
        <w:rPr>
          <w:rFonts w:eastAsia="Times New Roman" w:cs="Times New Roman"/>
          <w:b/>
          <w:bCs/>
          <w:kern w:val="0"/>
          <w:sz w:val="32"/>
          <w:szCs w:val="32"/>
          <w:lang w:eastAsia="en-GB"/>
          <w14:ligatures w14:val="none"/>
        </w:rPr>
        <w:t>Conclusion:</w:t>
      </w:r>
    </w:p>
    <w:p w14:paraId="3E512D2A" w14:textId="77777777" w:rsidR="00FF2B8D" w:rsidRDefault="00FF2B8D" w:rsidP="00FF2B8D">
      <w:pPr>
        <w:spacing w:before="100" w:beforeAutospacing="1" w:after="100" w:afterAutospacing="1" w:line="240" w:lineRule="auto"/>
      </w:pPr>
      <w:r>
        <w:t>Investment banks play an important role in the financial system since they provide a variety of services that aid in capital formation, business restructuring, and market activities. Despite several hurdles, they continue to evolve by harnessing technology and adjusting to regulatory changes, assuring their ongoing relevance and contribution to the economy.</w:t>
      </w:r>
    </w:p>
    <w:p w14:paraId="38F42DB8" w14:textId="77777777" w:rsidR="00FF2B8D" w:rsidRDefault="00FF2B8D"/>
    <w:sectPr w:rsidR="00FF2B8D" w:rsidSect="00FF2B8D">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8654F3"/>
    <w:multiLevelType w:val="multilevel"/>
    <w:tmpl w:val="38F0D774"/>
    <w:lvl w:ilvl="0">
      <w:start w:val="1"/>
      <w:numFmt w:val="decimal"/>
      <w:lvlText w:val="%1."/>
      <w:lvlJc w:val="left"/>
      <w:pPr>
        <w:tabs>
          <w:tab w:val="num" w:pos="720"/>
        </w:tabs>
        <w:ind w:left="720" w:hanging="360"/>
      </w:pPr>
      <w:rPr>
        <w:rFonts w:asciiTheme="minorHAnsi" w:eastAsia="Times New Roman" w:hAnsiTheme="minorHAnsi"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F56868"/>
    <w:multiLevelType w:val="hybridMultilevel"/>
    <w:tmpl w:val="C944C53C"/>
    <w:lvl w:ilvl="0" w:tplc="DB0A9F5A">
      <w:start w:val="1"/>
      <w:numFmt w:val="decimal"/>
      <w:lvlText w:val="%1."/>
      <w:lvlJc w:val="left"/>
      <w:pPr>
        <w:ind w:left="720" w:hanging="360"/>
      </w:pPr>
      <w:rPr>
        <w:rFonts w:eastAsiaTheme="minorHAnsi" w:cstheme="minorBid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DDA6CD7"/>
    <w:multiLevelType w:val="multilevel"/>
    <w:tmpl w:val="1F148584"/>
    <w:lvl w:ilvl="0">
      <w:start w:val="1"/>
      <w:numFmt w:val="decimal"/>
      <w:lvlText w:val="%1."/>
      <w:lvlJc w:val="left"/>
      <w:pPr>
        <w:tabs>
          <w:tab w:val="num" w:pos="720"/>
        </w:tabs>
        <w:ind w:left="720" w:hanging="360"/>
      </w:pPr>
      <w:rPr>
        <w:rFonts w:asciiTheme="minorHAnsi" w:eastAsia="Times New Roman" w:hAnsiTheme="minorHAnsi"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585726"/>
    <w:multiLevelType w:val="hybridMultilevel"/>
    <w:tmpl w:val="03A67764"/>
    <w:lvl w:ilvl="0" w:tplc="022CB206">
      <w:start w:val="1"/>
      <w:numFmt w:val="decimal"/>
      <w:lvlText w:val="%1."/>
      <w:lvlJc w:val="left"/>
      <w:pPr>
        <w:ind w:left="720" w:hanging="360"/>
      </w:pPr>
      <w:rPr>
        <w:rFonts w:eastAsiaTheme="minorHAnsi" w:cstheme="minorBid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4A44FF7"/>
    <w:multiLevelType w:val="multilevel"/>
    <w:tmpl w:val="0144D9DA"/>
    <w:lvl w:ilvl="0">
      <w:start w:val="1"/>
      <w:numFmt w:val="decimal"/>
      <w:lvlText w:val="%1."/>
      <w:lvlJc w:val="left"/>
      <w:pPr>
        <w:tabs>
          <w:tab w:val="num" w:pos="720"/>
        </w:tabs>
        <w:ind w:left="720" w:hanging="360"/>
      </w:pPr>
      <w:rPr>
        <w:rFonts w:asciiTheme="minorHAnsi" w:eastAsia="Times New Roman" w:hAnsiTheme="minorHAnsi"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651849">
    <w:abstractNumId w:val="1"/>
  </w:num>
  <w:num w:numId="2" w16cid:durableId="338460191">
    <w:abstractNumId w:val="0"/>
  </w:num>
  <w:num w:numId="3" w16cid:durableId="1424691566">
    <w:abstractNumId w:val="2"/>
  </w:num>
  <w:num w:numId="4" w16cid:durableId="78992802">
    <w:abstractNumId w:val="3"/>
  </w:num>
  <w:num w:numId="5" w16cid:durableId="7310084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B8D"/>
    <w:rsid w:val="00A622C3"/>
    <w:rsid w:val="00FF2B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2C21E"/>
  <w15:chartTrackingRefBased/>
  <w15:docId w15:val="{596730A6-8782-9A4E-AD91-3C96E8B79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2B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F2B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F2B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F2B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F2B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F2B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2B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2B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2B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2B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F2B8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F2B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F2B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F2B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F2B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2B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2B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2B8D"/>
    <w:rPr>
      <w:rFonts w:eastAsiaTheme="majorEastAsia" w:cstheme="majorBidi"/>
      <w:color w:val="272727" w:themeColor="text1" w:themeTint="D8"/>
    </w:rPr>
  </w:style>
  <w:style w:type="paragraph" w:styleId="Title">
    <w:name w:val="Title"/>
    <w:basedOn w:val="Normal"/>
    <w:next w:val="Normal"/>
    <w:link w:val="TitleChar"/>
    <w:uiPriority w:val="10"/>
    <w:qFormat/>
    <w:rsid w:val="00FF2B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2B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2B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2B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2B8D"/>
    <w:pPr>
      <w:spacing w:before="160"/>
      <w:jc w:val="center"/>
    </w:pPr>
    <w:rPr>
      <w:i/>
      <w:iCs/>
      <w:color w:val="404040" w:themeColor="text1" w:themeTint="BF"/>
    </w:rPr>
  </w:style>
  <w:style w:type="character" w:customStyle="1" w:styleId="QuoteChar">
    <w:name w:val="Quote Char"/>
    <w:basedOn w:val="DefaultParagraphFont"/>
    <w:link w:val="Quote"/>
    <w:uiPriority w:val="29"/>
    <w:rsid w:val="00FF2B8D"/>
    <w:rPr>
      <w:i/>
      <w:iCs/>
      <w:color w:val="404040" w:themeColor="text1" w:themeTint="BF"/>
    </w:rPr>
  </w:style>
  <w:style w:type="paragraph" w:styleId="ListParagraph">
    <w:name w:val="List Paragraph"/>
    <w:basedOn w:val="Normal"/>
    <w:uiPriority w:val="34"/>
    <w:qFormat/>
    <w:rsid w:val="00FF2B8D"/>
    <w:pPr>
      <w:ind w:left="720"/>
      <w:contextualSpacing/>
    </w:pPr>
  </w:style>
  <w:style w:type="character" w:styleId="IntenseEmphasis">
    <w:name w:val="Intense Emphasis"/>
    <w:basedOn w:val="DefaultParagraphFont"/>
    <w:uiPriority w:val="21"/>
    <w:qFormat/>
    <w:rsid w:val="00FF2B8D"/>
    <w:rPr>
      <w:i/>
      <w:iCs/>
      <w:color w:val="0F4761" w:themeColor="accent1" w:themeShade="BF"/>
    </w:rPr>
  </w:style>
  <w:style w:type="paragraph" w:styleId="IntenseQuote">
    <w:name w:val="Intense Quote"/>
    <w:basedOn w:val="Normal"/>
    <w:next w:val="Normal"/>
    <w:link w:val="IntenseQuoteChar"/>
    <w:uiPriority w:val="30"/>
    <w:qFormat/>
    <w:rsid w:val="00FF2B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2B8D"/>
    <w:rPr>
      <w:i/>
      <w:iCs/>
      <w:color w:val="0F4761" w:themeColor="accent1" w:themeShade="BF"/>
    </w:rPr>
  </w:style>
  <w:style w:type="character" w:styleId="IntenseReference">
    <w:name w:val="Intense Reference"/>
    <w:basedOn w:val="DefaultParagraphFont"/>
    <w:uiPriority w:val="32"/>
    <w:qFormat/>
    <w:rsid w:val="00FF2B8D"/>
    <w:rPr>
      <w:b/>
      <w:bCs/>
      <w:smallCaps/>
      <w:color w:val="0F4761" w:themeColor="accent1" w:themeShade="BF"/>
      <w:spacing w:val="5"/>
    </w:rPr>
  </w:style>
  <w:style w:type="paragraph" w:styleId="NoSpacing">
    <w:name w:val="No Spacing"/>
    <w:link w:val="NoSpacingChar"/>
    <w:uiPriority w:val="1"/>
    <w:qFormat/>
    <w:rsid w:val="00FF2B8D"/>
    <w:pPr>
      <w:spacing w:after="0" w:line="240" w:lineRule="auto"/>
    </w:pPr>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FF2B8D"/>
    <w:rPr>
      <w:rFonts w:eastAsiaTheme="minorEastAsia"/>
      <w:kern w:val="0"/>
      <w:sz w:val="22"/>
      <w:szCs w:val="22"/>
      <w:lang w:val="en-US"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729</Words>
  <Characters>4161</Characters>
  <Application>Microsoft Office Word</Application>
  <DocSecurity>0</DocSecurity>
  <Lines>34</Lines>
  <Paragraphs>9</Paragraphs>
  <ScaleCrop>false</ScaleCrop>
  <Company/>
  <LinksUpToDate>false</LinksUpToDate>
  <CharactersWithSpaces>4881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investment banking operation</dc:title>
  <dc:subject/>
  <dc:creator>Parth Babbar</dc:creator>
  <cp:keywords/>
  <dc:description/>
  <cp:lastModifiedBy>Parth Babbar</cp:lastModifiedBy>
  <cp:revision>1</cp:revision>
  <dcterms:created xsi:type="dcterms:W3CDTF">2024-06-18T11:30:00Z</dcterms:created>
  <dcterms:modified xsi:type="dcterms:W3CDTF">2024-06-18T11:31:00Z</dcterms:modified>
</cp:coreProperties>
</file>