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05581568"/>
        <w:docPartObj>
          <w:docPartGallery w:val="Cover Pages"/>
          <w:docPartUnique/>
        </w:docPartObj>
      </w:sdtPr>
      <w:sdtContent>
        <w:p w14:paraId="12C39D34" w14:textId="527EB594" w:rsidR="00FB16F5" w:rsidRDefault="00FB16F5">
          <w:r>
            <w:rPr>
              <w:noProof/>
            </w:rPr>
            <mc:AlternateContent>
              <mc:Choice Requires="wpg">
                <w:drawing>
                  <wp:anchor distT="0" distB="0" distL="114300" distR="114300" simplePos="0" relativeHeight="251659264" behindDoc="1" locked="0" layoutInCell="1" allowOverlap="1" wp14:anchorId="7572851E" wp14:editId="4569B6B3">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366DE83" w14:textId="211CD54D" w:rsidR="00FB16F5" w:rsidRDefault="00FB16F5">
                                      <w:pPr>
                                        <w:pStyle w:val="NoSpacing"/>
                                        <w:spacing w:before="120"/>
                                        <w:jc w:val="center"/>
                                        <w:rPr>
                                          <w:color w:val="FFFFFF" w:themeColor="background1"/>
                                        </w:rPr>
                                      </w:pPr>
                                      <w:r>
                                        <w:rPr>
                                          <w:color w:val="FFFFFF" w:themeColor="background1"/>
                                        </w:rPr>
                                        <w:t>Parth Babbar</w:t>
                                      </w:r>
                                    </w:p>
                                  </w:sdtContent>
                                </w:sdt>
                                <w:p w14:paraId="3C730794" w14:textId="38B4E7E8" w:rsidR="00FB16F5" w:rsidRDefault="00FB16F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6154DF6" w14:textId="05256FCE" w:rsidR="00FB16F5" w:rsidRDefault="00FB16F5">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Risk management operation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572851E"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366DE83" w14:textId="211CD54D" w:rsidR="00FB16F5" w:rsidRDefault="00FB16F5">
                                <w:pPr>
                                  <w:pStyle w:val="NoSpacing"/>
                                  <w:spacing w:before="120"/>
                                  <w:jc w:val="center"/>
                                  <w:rPr>
                                    <w:color w:val="FFFFFF" w:themeColor="background1"/>
                                  </w:rPr>
                                </w:pPr>
                                <w:r>
                                  <w:rPr>
                                    <w:color w:val="FFFFFF" w:themeColor="background1"/>
                                  </w:rPr>
                                  <w:t>Parth Babbar</w:t>
                                </w:r>
                              </w:p>
                            </w:sdtContent>
                          </w:sdt>
                          <w:p w14:paraId="3C730794" w14:textId="38B4E7E8" w:rsidR="00FB16F5" w:rsidRDefault="00FB16F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6154DF6" w14:textId="05256FCE" w:rsidR="00FB16F5" w:rsidRDefault="00FB16F5">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Risk management operation</w:t>
                                </w:r>
                              </w:p>
                            </w:sdtContent>
                          </w:sdt>
                        </w:txbxContent>
                      </v:textbox>
                    </v:shape>
                    <w10:wrap anchorx="page" anchory="page"/>
                  </v:group>
                </w:pict>
              </mc:Fallback>
            </mc:AlternateContent>
          </w:r>
        </w:p>
        <w:p w14:paraId="6F05678B" w14:textId="0392D2F6" w:rsidR="00FB16F5" w:rsidRDefault="00FB16F5">
          <w:r>
            <w:br w:type="page"/>
          </w:r>
        </w:p>
      </w:sdtContent>
    </w:sdt>
    <w:p w14:paraId="6E96EE1B" w14:textId="77777777" w:rsidR="00FB16F5" w:rsidRDefault="00FB16F5" w:rsidP="00FB16F5">
      <w:pPr>
        <w:spacing w:before="100" w:beforeAutospacing="1" w:after="100" w:afterAutospacing="1" w:line="240" w:lineRule="auto"/>
        <w:outlineLvl w:val="3"/>
        <w:rPr>
          <w:b/>
          <w:bCs/>
          <w:sz w:val="32"/>
          <w:szCs w:val="32"/>
        </w:rPr>
      </w:pPr>
      <w:r w:rsidRPr="00835205">
        <w:rPr>
          <w:b/>
          <w:bCs/>
          <w:sz w:val="32"/>
          <w:szCs w:val="32"/>
        </w:rPr>
        <w:lastRenderedPageBreak/>
        <w:t>Introduction:</w:t>
      </w:r>
    </w:p>
    <w:p w14:paraId="2F397580" w14:textId="77777777" w:rsidR="00FB16F5" w:rsidRDefault="00FB16F5" w:rsidP="00FB16F5">
      <w:pPr>
        <w:spacing w:before="100" w:beforeAutospacing="1" w:after="100" w:afterAutospacing="1" w:line="240" w:lineRule="auto"/>
        <w:outlineLvl w:val="3"/>
      </w:pPr>
      <w:r>
        <w:t>Risk management in banking is critical for maintaining financial health and stability in the United States financial system. It entails recognising, analysing, and reducing the many risks that banks face, such as credit risk, market risk, operational risk, liquidity risk, and regulatory risk. Effective risk management requires systematically identifying and assessing hazards, followed by strategic steps to mitigate their impact and maintain regulatory compliance. Banks may improve their resilience and integrity in volatile financial conditions by prioritising risk management procedures.</w:t>
      </w:r>
    </w:p>
    <w:p w14:paraId="4A5D745C" w14:textId="77777777" w:rsidR="00FB16F5" w:rsidRDefault="00FB16F5" w:rsidP="00FB16F5">
      <w:pPr>
        <w:spacing w:before="100" w:beforeAutospacing="1" w:after="100" w:afterAutospacing="1" w:line="240" w:lineRule="auto"/>
        <w:outlineLvl w:val="3"/>
        <w:rPr>
          <w:b/>
          <w:bCs/>
          <w:sz w:val="32"/>
          <w:szCs w:val="32"/>
        </w:rPr>
      </w:pPr>
      <w:r w:rsidRPr="00160448">
        <w:rPr>
          <w:b/>
          <w:bCs/>
          <w:sz w:val="32"/>
          <w:szCs w:val="32"/>
        </w:rPr>
        <w:t>Types of Risks:</w:t>
      </w:r>
    </w:p>
    <w:p w14:paraId="7E45C47C" w14:textId="77777777" w:rsidR="00FB16F5" w:rsidRDefault="00FB16F5" w:rsidP="00FB16F5">
      <w:pPr>
        <w:pStyle w:val="ListParagraph"/>
        <w:numPr>
          <w:ilvl w:val="0"/>
          <w:numId w:val="1"/>
        </w:numPr>
        <w:spacing w:before="100" w:beforeAutospacing="1" w:after="100" w:afterAutospacing="1" w:line="240" w:lineRule="auto"/>
        <w:outlineLvl w:val="3"/>
      </w:pPr>
      <w:r w:rsidRPr="00160448">
        <w:rPr>
          <w:b/>
          <w:bCs/>
        </w:rPr>
        <w:t xml:space="preserve">Credit Risk:  </w:t>
      </w:r>
      <w:r>
        <w:t>It is the possibility that a borrower would fail to satisfy debt commitments by not making required payments. Credit rating systems, loan portfolio diversification, credit limit setting, and securitization procedures are some of the management measures used. As of 2023, non-performing loans (NPLs) in the United States banking sector amounted for around 1.0% of total loans, a significant decrease from the peak of 5.0% reported during the 2008 financial crisis.</w:t>
      </w:r>
      <w:r>
        <w:br/>
      </w:r>
      <w:r w:rsidRPr="00160448">
        <w:drawing>
          <wp:inline distT="0" distB="0" distL="0" distR="0" wp14:anchorId="4C0E9181" wp14:editId="65F0E045">
            <wp:extent cx="5731510" cy="3561080"/>
            <wp:effectExtent l="0" t="0" r="0" b="0"/>
            <wp:docPr id="198160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0613" name=""/>
                    <pic:cNvPicPr/>
                  </pic:nvPicPr>
                  <pic:blipFill>
                    <a:blip r:embed="rId5"/>
                    <a:stretch>
                      <a:fillRect/>
                    </a:stretch>
                  </pic:blipFill>
                  <pic:spPr>
                    <a:xfrm>
                      <a:off x="0" y="0"/>
                      <a:ext cx="5731510" cy="3561080"/>
                    </a:xfrm>
                    <a:prstGeom prst="rect">
                      <a:avLst/>
                    </a:prstGeom>
                  </pic:spPr>
                </pic:pic>
              </a:graphicData>
            </a:graphic>
          </wp:inline>
        </w:drawing>
      </w:r>
      <w:r>
        <w:br/>
      </w:r>
    </w:p>
    <w:p w14:paraId="558FCBCC" w14:textId="77777777" w:rsidR="00FB16F5" w:rsidRDefault="00FB16F5" w:rsidP="00FB16F5">
      <w:pPr>
        <w:pStyle w:val="ListParagraph"/>
        <w:numPr>
          <w:ilvl w:val="0"/>
          <w:numId w:val="1"/>
        </w:numPr>
        <w:spacing w:before="100" w:beforeAutospacing="1" w:after="100" w:afterAutospacing="1" w:line="240" w:lineRule="auto"/>
        <w:outlineLvl w:val="3"/>
      </w:pPr>
      <w:r>
        <w:rPr>
          <w:b/>
          <w:bCs/>
        </w:rPr>
        <w:t>Market Risk:</w:t>
      </w:r>
      <w:r>
        <w:t xml:space="preserve"> Market risk refers to possible losses resulting from market price changes in both on- and off-balance-sheet positions. Management techniques include Value-at-Risk (</w:t>
      </w:r>
      <w:proofErr w:type="spellStart"/>
      <w:r>
        <w:t>VaR</w:t>
      </w:r>
      <w:proofErr w:type="spellEnd"/>
      <w:r>
        <w:t xml:space="preserve">) models, stress testing, and hedging measures. In Q1 2023, US banks' trading revenues, which represent market risk exposure, reached $7.5 billion, showing a steady trading environment. Maintaining financial stability and profitability in the face of market volatility requires </w:t>
      </w:r>
      <w:r>
        <w:lastRenderedPageBreak/>
        <w:t>effective market risk management.</w:t>
      </w:r>
      <w:r>
        <w:br/>
      </w:r>
    </w:p>
    <w:p w14:paraId="088A299A" w14:textId="77777777" w:rsidR="00FB16F5" w:rsidRDefault="00FB16F5" w:rsidP="00FB16F5">
      <w:pPr>
        <w:pStyle w:val="ListParagraph"/>
        <w:numPr>
          <w:ilvl w:val="0"/>
          <w:numId w:val="1"/>
        </w:numPr>
        <w:spacing w:before="100" w:beforeAutospacing="1" w:after="100" w:afterAutospacing="1" w:line="240" w:lineRule="auto"/>
        <w:outlineLvl w:val="3"/>
      </w:pPr>
      <w:r>
        <w:rPr>
          <w:b/>
          <w:bCs/>
        </w:rPr>
        <w:t>Operational Risk:</w:t>
      </w:r>
      <w:r w:rsidRPr="00160448">
        <w:t xml:space="preserve"> </w:t>
      </w:r>
      <w:r>
        <w:t>In banking, operational risk refers to the possibility for losses caused by internal process failures, people difficulties, system inadequacies, or external occurrences. It is handled with strong internal controls, audits, risk assessments, and incident response systems. Over the last five years, major US banks have averaged yearly operational losses of around $12.7 billion, highlighting the necessity of competent operational risk management in ensuring resilience and financial stability in the face of increasing problems.</w:t>
      </w:r>
      <w:r>
        <w:br/>
      </w:r>
    </w:p>
    <w:p w14:paraId="376AC047" w14:textId="77777777" w:rsidR="00FB16F5" w:rsidRDefault="00FB16F5" w:rsidP="00FB16F5">
      <w:pPr>
        <w:spacing w:before="100" w:beforeAutospacing="1" w:after="100" w:afterAutospacing="1" w:line="240" w:lineRule="auto"/>
        <w:outlineLvl w:val="3"/>
        <w:rPr>
          <w:b/>
          <w:bCs/>
          <w:sz w:val="32"/>
          <w:szCs w:val="32"/>
        </w:rPr>
      </w:pPr>
      <w:r w:rsidRPr="00160448">
        <w:rPr>
          <w:b/>
          <w:bCs/>
          <w:sz w:val="32"/>
          <w:szCs w:val="32"/>
        </w:rPr>
        <w:t>Regulatory Environment:</w:t>
      </w:r>
    </w:p>
    <w:p w14:paraId="155F3AA3" w14:textId="77777777" w:rsidR="00FB16F5" w:rsidRPr="00160448" w:rsidRDefault="00FB16F5" w:rsidP="00FB16F5">
      <w:pPr>
        <w:pStyle w:val="ListParagraph"/>
        <w:numPr>
          <w:ilvl w:val="0"/>
          <w:numId w:val="2"/>
        </w:numPr>
        <w:spacing w:before="100" w:beforeAutospacing="1" w:after="100" w:afterAutospacing="1" w:line="240" w:lineRule="auto"/>
        <w:outlineLvl w:val="3"/>
        <w:rPr>
          <w:b/>
          <w:bCs/>
        </w:rPr>
      </w:pPr>
      <w:r>
        <w:rPr>
          <w:b/>
          <w:bCs/>
        </w:rPr>
        <w:t>Basel III Framework</w:t>
      </w:r>
      <w:r>
        <w:rPr>
          <w:b/>
          <w:bCs/>
        </w:rPr>
        <w:br/>
      </w:r>
      <w:r>
        <w:fldChar w:fldCharType="begin"/>
      </w:r>
      <w:r>
        <w:instrText xml:space="preserve"> INCLUDEPICTURE "https://fastercapital.com/i/Basel-III-Framework--Navigating-the-Importance-of-CET1--Introduction-to-Basel-III-Framework.webp" \* MERGEFORMATINET </w:instrText>
      </w:r>
      <w:r>
        <w:fldChar w:fldCharType="separate"/>
      </w:r>
      <w:r>
        <w:rPr>
          <w:noProof/>
        </w:rPr>
        <w:drawing>
          <wp:inline distT="0" distB="0" distL="0" distR="0" wp14:anchorId="64D8B22C" wp14:editId="68382C88">
            <wp:extent cx="4140696" cy="2329543"/>
            <wp:effectExtent l="0" t="0" r="0" b="0"/>
            <wp:docPr id="1902927677" name="Picture 5" descr="Introduction To Basel Iii Framework - FasterCa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Basel Iii Framework - FasterCapit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50756" cy="2335203"/>
                    </a:xfrm>
                    <a:prstGeom prst="rect">
                      <a:avLst/>
                    </a:prstGeom>
                    <a:noFill/>
                    <a:ln>
                      <a:noFill/>
                    </a:ln>
                  </pic:spPr>
                </pic:pic>
              </a:graphicData>
            </a:graphic>
          </wp:inline>
        </w:drawing>
      </w:r>
      <w:r>
        <w:fldChar w:fldCharType="end"/>
      </w:r>
    </w:p>
    <w:p w14:paraId="015946B3" w14:textId="77777777" w:rsidR="00FB16F5" w:rsidRPr="00160448" w:rsidRDefault="00FB16F5" w:rsidP="00FB16F5">
      <w:pPr>
        <w:pStyle w:val="ListParagraph"/>
        <w:numPr>
          <w:ilvl w:val="0"/>
          <w:numId w:val="2"/>
        </w:numPr>
        <w:spacing w:before="100" w:beforeAutospacing="1" w:after="100" w:afterAutospacing="1" w:line="240" w:lineRule="auto"/>
        <w:outlineLvl w:val="3"/>
        <w:rPr>
          <w:b/>
          <w:bCs/>
        </w:rPr>
      </w:pPr>
      <w:r w:rsidRPr="00160448">
        <w:rPr>
          <w:b/>
          <w:bCs/>
        </w:rPr>
        <w:t>Dodd-Frank Wall Street Reform and Consumer Protection Act</w:t>
      </w:r>
      <w:r>
        <w:rPr>
          <w:b/>
          <w:bCs/>
        </w:rPr>
        <w:br/>
      </w:r>
      <w:r>
        <w:fldChar w:fldCharType="begin"/>
      </w:r>
      <w:r>
        <w:instrText xml:space="preserve"> INCLUDEPICTURE "https://upload.wikimedia.org/wikipedia/commons/thumb/4/47/Dodd_Frank_Tier_1_ratios.png/400px-Dodd_Frank_Tier_1_ratios.png" \* MERGEFORMATINET </w:instrText>
      </w:r>
      <w:r>
        <w:fldChar w:fldCharType="separate"/>
      </w:r>
      <w:r>
        <w:rPr>
          <w:noProof/>
        </w:rPr>
        <w:drawing>
          <wp:inline distT="0" distB="0" distL="0" distR="0" wp14:anchorId="4E11427C" wp14:editId="07306A2A">
            <wp:extent cx="3775803" cy="3048091"/>
            <wp:effectExtent l="0" t="0" r="0" b="0"/>
            <wp:docPr id="1725346320" name="Picture 7" descr="Dodd–Frank Wall Street Reform and Consumer Protection Ac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dd–Frank Wall Street Reform and Consumer Protection Act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8170" cy="3050002"/>
                    </a:xfrm>
                    <a:prstGeom prst="rect">
                      <a:avLst/>
                    </a:prstGeom>
                    <a:noFill/>
                    <a:ln>
                      <a:noFill/>
                    </a:ln>
                  </pic:spPr>
                </pic:pic>
              </a:graphicData>
            </a:graphic>
          </wp:inline>
        </w:drawing>
      </w:r>
      <w:r>
        <w:fldChar w:fldCharType="end"/>
      </w:r>
    </w:p>
    <w:p w14:paraId="58F9FF71" w14:textId="77777777" w:rsidR="00FB16F5" w:rsidRDefault="00FB16F5" w:rsidP="00FB16F5">
      <w:pPr>
        <w:pStyle w:val="ListParagraph"/>
        <w:numPr>
          <w:ilvl w:val="0"/>
          <w:numId w:val="2"/>
        </w:numPr>
        <w:spacing w:before="100" w:beforeAutospacing="1" w:after="100" w:afterAutospacing="1" w:line="240" w:lineRule="auto"/>
        <w:outlineLvl w:val="3"/>
        <w:rPr>
          <w:b/>
          <w:bCs/>
        </w:rPr>
      </w:pPr>
      <w:r w:rsidRPr="00160448">
        <w:rPr>
          <w:b/>
          <w:bCs/>
        </w:rPr>
        <w:t>Federal Reserve and FDIC Regulations</w:t>
      </w:r>
    </w:p>
    <w:p w14:paraId="09C977A9" w14:textId="77777777" w:rsidR="00FB16F5" w:rsidRDefault="00FB16F5" w:rsidP="00FB16F5">
      <w:pPr>
        <w:spacing w:before="100" w:beforeAutospacing="1" w:after="100" w:afterAutospacing="1" w:line="240" w:lineRule="auto"/>
        <w:outlineLvl w:val="3"/>
        <w:rPr>
          <w:b/>
          <w:bCs/>
          <w:sz w:val="32"/>
          <w:szCs w:val="32"/>
        </w:rPr>
      </w:pPr>
      <w:r w:rsidRPr="00160448">
        <w:rPr>
          <w:b/>
          <w:bCs/>
          <w:sz w:val="32"/>
          <w:szCs w:val="32"/>
        </w:rPr>
        <w:t>Risk Management:</w:t>
      </w:r>
    </w:p>
    <w:p w14:paraId="110032AA" w14:textId="77777777" w:rsidR="00FB16F5" w:rsidRPr="00160448" w:rsidRDefault="00FB16F5" w:rsidP="00FB16F5">
      <w:pPr>
        <w:pStyle w:val="ListParagraph"/>
        <w:numPr>
          <w:ilvl w:val="0"/>
          <w:numId w:val="3"/>
        </w:numPr>
        <w:spacing w:before="100" w:beforeAutospacing="1" w:after="100" w:afterAutospacing="1" w:line="240" w:lineRule="auto"/>
        <w:outlineLvl w:val="3"/>
        <w:rPr>
          <w:b/>
          <w:bCs/>
          <w:sz w:val="32"/>
          <w:szCs w:val="32"/>
        </w:rPr>
      </w:pPr>
      <w:r w:rsidRPr="00160448">
        <w:rPr>
          <w:rFonts w:eastAsia="Times New Roman" w:cs="Times New Roman"/>
          <w:b/>
          <w:bCs/>
          <w:kern w:val="0"/>
          <w:lang w:eastAsia="en-GB"/>
          <w14:ligatures w14:val="none"/>
        </w:rPr>
        <w:lastRenderedPageBreak/>
        <w:t>Enterprise Risk Management (ERM)</w:t>
      </w:r>
    </w:p>
    <w:p w14:paraId="4FA453F0" w14:textId="77777777" w:rsidR="00FB16F5" w:rsidRPr="00160448" w:rsidRDefault="00FB16F5" w:rsidP="00FB16F5">
      <w:pPr>
        <w:pStyle w:val="ListParagraph"/>
        <w:numPr>
          <w:ilvl w:val="0"/>
          <w:numId w:val="3"/>
        </w:numPr>
        <w:spacing w:before="100" w:beforeAutospacing="1" w:after="100" w:afterAutospacing="1" w:line="240" w:lineRule="auto"/>
        <w:outlineLvl w:val="3"/>
        <w:rPr>
          <w:b/>
          <w:bCs/>
          <w:sz w:val="32"/>
          <w:szCs w:val="32"/>
        </w:rPr>
      </w:pPr>
      <w:r w:rsidRPr="00160448">
        <w:rPr>
          <w:rFonts w:eastAsia="Times New Roman" w:cs="Times New Roman"/>
          <w:b/>
          <w:bCs/>
          <w:kern w:val="0"/>
          <w:lang w:eastAsia="en-GB"/>
          <w14:ligatures w14:val="none"/>
        </w:rPr>
        <w:t>Stress Testing</w:t>
      </w:r>
    </w:p>
    <w:p w14:paraId="6E34F028" w14:textId="77777777" w:rsidR="00FB16F5" w:rsidRPr="00160448" w:rsidRDefault="00FB16F5" w:rsidP="00FB16F5">
      <w:pPr>
        <w:pStyle w:val="ListParagraph"/>
        <w:numPr>
          <w:ilvl w:val="0"/>
          <w:numId w:val="3"/>
        </w:numPr>
        <w:spacing w:before="100" w:beforeAutospacing="1" w:after="100" w:afterAutospacing="1" w:line="240" w:lineRule="auto"/>
        <w:outlineLvl w:val="3"/>
        <w:rPr>
          <w:b/>
          <w:bCs/>
          <w:sz w:val="32"/>
          <w:szCs w:val="32"/>
        </w:rPr>
      </w:pPr>
      <w:r w:rsidRPr="00160448">
        <w:rPr>
          <w:rFonts w:eastAsia="Times New Roman" w:cs="Times New Roman"/>
          <w:b/>
          <w:bCs/>
          <w:kern w:val="0"/>
          <w:lang w:eastAsia="en-GB"/>
          <w14:ligatures w14:val="none"/>
        </w:rPr>
        <w:t>Risk Governance</w:t>
      </w:r>
      <w:r w:rsidRPr="00160448">
        <w:rPr>
          <w:rFonts w:eastAsia="Times New Roman" w:cs="Times New Roman"/>
          <w:kern w:val="0"/>
          <w:lang w:eastAsia="en-GB"/>
          <w14:ligatures w14:val="none"/>
        </w:rPr>
        <w:t xml:space="preserve"> </w:t>
      </w:r>
    </w:p>
    <w:p w14:paraId="7FEE23CA" w14:textId="77777777" w:rsidR="00FB16F5" w:rsidRPr="00160448" w:rsidRDefault="00FB16F5" w:rsidP="00FB16F5">
      <w:pPr>
        <w:pStyle w:val="ListParagraph"/>
        <w:numPr>
          <w:ilvl w:val="0"/>
          <w:numId w:val="3"/>
        </w:numPr>
        <w:spacing w:before="100" w:beforeAutospacing="1" w:after="100" w:afterAutospacing="1" w:line="240" w:lineRule="auto"/>
        <w:outlineLvl w:val="3"/>
        <w:rPr>
          <w:b/>
          <w:bCs/>
          <w:sz w:val="32"/>
          <w:szCs w:val="32"/>
        </w:rPr>
      </w:pPr>
      <w:r w:rsidRPr="00160448">
        <w:rPr>
          <w:rFonts w:eastAsia="Times New Roman" w:cs="Times New Roman"/>
          <w:b/>
          <w:bCs/>
          <w:kern w:val="0"/>
          <w:lang w:eastAsia="en-GB"/>
          <w14:ligatures w14:val="none"/>
        </w:rPr>
        <w:t>Technology and Data Analytics</w:t>
      </w:r>
    </w:p>
    <w:p w14:paraId="6DE006EC" w14:textId="77777777" w:rsidR="00FB16F5" w:rsidRDefault="00FB16F5" w:rsidP="00FB16F5">
      <w:pPr>
        <w:spacing w:before="100" w:beforeAutospacing="1" w:after="100" w:afterAutospacing="1" w:line="240" w:lineRule="auto"/>
        <w:outlineLvl w:val="3"/>
        <w:rPr>
          <w:b/>
          <w:bCs/>
          <w:sz w:val="32"/>
          <w:szCs w:val="32"/>
        </w:rPr>
      </w:pPr>
      <w:r>
        <w:rPr>
          <w:b/>
          <w:bCs/>
          <w:sz w:val="32"/>
          <w:szCs w:val="32"/>
        </w:rPr>
        <w:t>Conclusion:</w:t>
      </w:r>
    </w:p>
    <w:p w14:paraId="46768664" w14:textId="77777777" w:rsidR="00FB16F5" w:rsidRDefault="00FB16F5" w:rsidP="00FB16F5">
      <w:pPr>
        <w:spacing w:before="100" w:beforeAutospacing="1" w:after="100" w:afterAutospacing="1" w:line="240" w:lineRule="auto"/>
        <w:outlineLvl w:val="3"/>
      </w:pPr>
      <w:r>
        <w:t>Effective risk management in US banking is critical to ensuring financial stability and preserving stakeholders' interests. Banks in the United States may better navigate the complicated and dynamic financial landscape by constantly developing their risk management strategies and remaining up to date on regulatory changes and new hazards.</w:t>
      </w:r>
    </w:p>
    <w:p w14:paraId="7315DC49" w14:textId="77777777" w:rsidR="00FB16F5" w:rsidRDefault="00FB16F5"/>
    <w:sectPr w:rsidR="00FB16F5" w:rsidSect="00FB16F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F8B"/>
    <w:multiLevelType w:val="hybridMultilevel"/>
    <w:tmpl w:val="2C66C01E"/>
    <w:lvl w:ilvl="0" w:tplc="C0F89694">
      <w:start w:val="1"/>
      <w:numFmt w:val="decimal"/>
      <w:lvlText w:val="%1."/>
      <w:lvlJc w:val="left"/>
      <w:pPr>
        <w:ind w:left="720" w:hanging="360"/>
      </w:pPr>
      <w:rPr>
        <w:rFonts w:asciiTheme="minorHAnsi" w:eastAsia="Times New Roman" w:hAnsiTheme="minorHAnsi"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3567DF"/>
    <w:multiLevelType w:val="hybridMultilevel"/>
    <w:tmpl w:val="0C7E95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D709C0"/>
    <w:multiLevelType w:val="hybridMultilevel"/>
    <w:tmpl w:val="B720CB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9940432">
    <w:abstractNumId w:val="2"/>
  </w:num>
  <w:num w:numId="2" w16cid:durableId="487792561">
    <w:abstractNumId w:val="1"/>
  </w:num>
  <w:num w:numId="3" w16cid:durableId="831679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F5"/>
    <w:rsid w:val="00A955C4"/>
    <w:rsid w:val="00FB1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6671"/>
  <w15:chartTrackingRefBased/>
  <w15:docId w15:val="{A6770FF8-0770-C544-863B-F1E21E75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1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1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6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1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1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6F5"/>
    <w:rPr>
      <w:rFonts w:eastAsiaTheme="majorEastAsia" w:cstheme="majorBidi"/>
      <w:color w:val="272727" w:themeColor="text1" w:themeTint="D8"/>
    </w:rPr>
  </w:style>
  <w:style w:type="paragraph" w:styleId="Title">
    <w:name w:val="Title"/>
    <w:basedOn w:val="Normal"/>
    <w:next w:val="Normal"/>
    <w:link w:val="TitleChar"/>
    <w:uiPriority w:val="10"/>
    <w:qFormat/>
    <w:rsid w:val="00FB1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6F5"/>
    <w:pPr>
      <w:spacing w:before="160"/>
      <w:jc w:val="center"/>
    </w:pPr>
    <w:rPr>
      <w:i/>
      <w:iCs/>
      <w:color w:val="404040" w:themeColor="text1" w:themeTint="BF"/>
    </w:rPr>
  </w:style>
  <w:style w:type="character" w:customStyle="1" w:styleId="QuoteChar">
    <w:name w:val="Quote Char"/>
    <w:basedOn w:val="DefaultParagraphFont"/>
    <w:link w:val="Quote"/>
    <w:uiPriority w:val="29"/>
    <w:rsid w:val="00FB16F5"/>
    <w:rPr>
      <w:i/>
      <w:iCs/>
      <w:color w:val="404040" w:themeColor="text1" w:themeTint="BF"/>
    </w:rPr>
  </w:style>
  <w:style w:type="paragraph" w:styleId="ListParagraph">
    <w:name w:val="List Paragraph"/>
    <w:basedOn w:val="Normal"/>
    <w:uiPriority w:val="34"/>
    <w:qFormat/>
    <w:rsid w:val="00FB16F5"/>
    <w:pPr>
      <w:ind w:left="720"/>
      <w:contextualSpacing/>
    </w:pPr>
  </w:style>
  <w:style w:type="character" w:styleId="IntenseEmphasis">
    <w:name w:val="Intense Emphasis"/>
    <w:basedOn w:val="DefaultParagraphFont"/>
    <w:uiPriority w:val="21"/>
    <w:qFormat/>
    <w:rsid w:val="00FB16F5"/>
    <w:rPr>
      <w:i/>
      <w:iCs/>
      <w:color w:val="0F4761" w:themeColor="accent1" w:themeShade="BF"/>
    </w:rPr>
  </w:style>
  <w:style w:type="paragraph" w:styleId="IntenseQuote">
    <w:name w:val="Intense Quote"/>
    <w:basedOn w:val="Normal"/>
    <w:next w:val="Normal"/>
    <w:link w:val="IntenseQuoteChar"/>
    <w:uiPriority w:val="30"/>
    <w:qFormat/>
    <w:rsid w:val="00FB1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6F5"/>
    <w:rPr>
      <w:i/>
      <w:iCs/>
      <w:color w:val="0F4761" w:themeColor="accent1" w:themeShade="BF"/>
    </w:rPr>
  </w:style>
  <w:style w:type="character" w:styleId="IntenseReference">
    <w:name w:val="Intense Reference"/>
    <w:basedOn w:val="DefaultParagraphFont"/>
    <w:uiPriority w:val="32"/>
    <w:qFormat/>
    <w:rsid w:val="00FB16F5"/>
    <w:rPr>
      <w:b/>
      <w:bCs/>
      <w:smallCaps/>
      <w:color w:val="0F4761" w:themeColor="accent1" w:themeShade="BF"/>
      <w:spacing w:val="5"/>
    </w:rPr>
  </w:style>
  <w:style w:type="paragraph" w:styleId="NoSpacing">
    <w:name w:val="No Spacing"/>
    <w:link w:val="NoSpacingChar"/>
    <w:uiPriority w:val="1"/>
    <w:qFormat/>
    <w:rsid w:val="00FB16F5"/>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FB16F5"/>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operation</dc:title>
  <dc:subject/>
  <dc:creator>Parth Babbar</dc:creator>
  <cp:keywords/>
  <dc:description/>
  <cp:lastModifiedBy>Parth Babbar</cp:lastModifiedBy>
  <cp:revision>1</cp:revision>
  <dcterms:created xsi:type="dcterms:W3CDTF">2024-06-20T10:48:00Z</dcterms:created>
  <dcterms:modified xsi:type="dcterms:W3CDTF">2024-06-20T10:48:00Z</dcterms:modified>
</cp:coreProperties>
</file>