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4607122"/>
        <w:docPartObj>
          <w:docPartGallery w:val="Cover Pages"/>
          <w:docPartUnique/>
        </w:docPartObj>
      </w:sdtPr>
      <w:sdtContent>
        <w:p w14:paraId="4735412C" w14:textId="0B1FD7FB" w:rsidR="00FF6B4A" w:rsidRDefault="00FF6B4A">
          <w:r>
            <w:rPr>
              <w:noProof/>
            </w:rPr>
            <mc:AlternateContent>
              <mc:Choice Requires="wpg">
                <w:drawing>
                  <wp:anchor distT="0" distB="0" distL="114300" distR="114300" simplePos="0" relativeHeight="251659264" behindDoc="1" locked="0" layoutInCell="1" allowOverlap="1" wp14:anchorId="611215B7" wp14:editId="0DD7FA6E">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C09A2F6" w14:textId="7C9E9838" w:rsidR="00FF6B4A" w:rsidRDefault="00FF6B4A">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68BD7BED" w14:textId="5828F8A7" w:rsidR="00FF6B4A" w:rsidRDefault="00FF6B4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4D378B" w14:textId="683D1E82" w:rsidR="00FF6B4A" w:rsidRDefault="00646E0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Security &amp; Exchange commission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1215B7"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C09A2F6" w14:textId="7C9E9838" w:rsidR="00FF6B4A" w:rsidRDefault="00FF6B4A">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68BD7BED" w14:textId="5828F8A7" w:rsidR="00FF6B4A" w:rsidRDefault="00FF6B4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4D378B" w14:textId="683D1E82" w:rsidR="00FF6B4A" w:rsidRDefault="00646E0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Security &amp; Exchange commission</w:t>
                                </w:r>
                              </w:p>
                            </w:sdtContent>
                          </w:sdt>
                        </w:txbxContent>
                      </v:textbox>
                    </v:shape>
                    <w10:wrap anchorx="page" anchory="page"/>
                  </v:group>
                </w:pict>
              </mc:Fallback>
            </mc:AlternateContent>
          </w:r>
        </w:p>
        <w:p w14:paraId="070C94EB" w14:textId="31AF057C" w:rsidR="00FF6B4A" w:rsidRDefault="00FF6B4A">
          <w:r>
            <w:br w:type="page"/>
          </w:r>
        </w:p>
      </w:sdtContent>
    </w:sdt>
    <w:p w14:paraId="7BFEF14C" w14:textId="77777777" w:rsidR="00646E08" w:rsidRDefault="00646E08" w:rsidP="00646E08">
      <w:pPr>
        <w:rPr>
          <w:b/>
          <w:bCs/>
          <w:sz w:val="32"/>
          <w:szCs w:val="32"/>
        </w:rPr>
      </w:pPr>
      <w:r>
        <w:rPr>
          <w:b/>
          <w:bCs/>
          <w:sz w:val="32"/>
          <w:szCs w:val="32"/>
        </w:rPr>
        <w:lastRenderedPageBreak/>
        <w:t>Introduction:</w:t>
      </w:r>
    </w:p>
    <w:p w14:paraId="7E7BFCF2" w14:textId="77777777" w:rsidR="00646E08" w:rsidRDefault="00646E08" w:rsidP="00646E08">
      <w:r>
        <w:t>The Securities and Exchange Commission (SEC) is a key component of US financial regulation, monitoring the securities sector to promote fair and transparent markets. The SEC, as a federal agency under the jurisdiction of the United States government, plays an important role in protecting investors, ensuring market integrity, and promoting capital creation.</w:t>
      </w:r>
    </w:p>
    <w:p w14:paraId="75A3D85B" w14:textId="77777777" w:rsidR="00646E08" w:rsidRDefault="00646E08" w:rsidP="00646E08">
      <w:r>
        <w:rPr>
          <w:noProof/>
        </w:rPr>
        <w:drawing>
          <wp:inline distT="0" distB="0" distL="0" distR="0" wp14:anchorId="1400DE22" wp14:editId="00568311">
            <wp:extent cx="1431925" cy="1431925"/>
            <wp:effectExtent l="0" t="0" r="3175" b="3175"/>
            <wp:docPr id="846048481" name="Picture 3" descr="U.S. Securities and Exchange Commis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 Securities and Exchange Commiss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14:paraId="29B0126C" w14:textId="77777777" w:rsidR="00646E08" w:rsidRDefault="00646E08" w:rsidP="00646E08">
      <w:pPr>
        <w:rPr>
          <w:b/>
          <w:bCs/>
          <w:sz w:val="32"/>
          <w:szCs w:val="32"/>
        </w:rPr>
      </w:pPr>
      <w:r w:rsidRPr="00EA02A2">
        <w:rPr>
          <w:b/>
          <w:bCs/>
          <w:sz w:val="32"/>
          <w:szCs w:val="32"/>
        </w:rPr>
        <w:t>History:</w:t>
      </w:r>
    </w:p>
    <w:p w14:paraId="62BF7A58" w14:textId="77777777" w:rsidR="00646E08" w:rsidRDefault="00646E08" w:rsidP="00646E08">
      <w:r>
        <w:t>The Securities and Exchange Commission (SEC) was founded in 1934 in reaction to the devastation caused by the 1929 stock market crisis. Its inception marked a watershed point in American financial history, with the goal of restoring investor confidence and market stability. The creation of the SEC represented the federal government's commitment to regulating securities offers and transactions, enforcing securities laws, and protecting investors' interests.</w:t>
      </w:r>
    </w:p>
    <w:p w14:paraId="66C57C40" w14:textId="77777777" w:rsidR="00646E08" w:rsidRDefault="00646E08" w:rsidP="00646E08">
      <w:pPr>
        <w:rPr>
          <w:b/>
          <w:bCs/>
          <w:sz w:val="32"/>
          <w:szCs w:val="32"/>
        </w:rPr>
      </w:pPr>
      <w:r>
        <w:rPr>
          <w:b/>
          <w:bCs/>
          <w:sz w:val="32"/>
          <w:szCs w:val="32"/>
        </w:rPr>
        <w:t>Key Objective:</w:t>
      </w:r>
    </w:p>
    <w:p w14:paraId="413C8DE0" w14:textId="77777777" w:rsidR="00646E08" w:rsidRDefault="00646E08" w:rsidP="00646E08">
      <w:r>
        <w:t>The SEC acts with defined aims:</w:t>
      </w:r>
    </w:p>
    <w:p w14:paraId="4B1B900F" w14:textId="77777777" w:rsidR="00646E08" w:rsidRDefault="00646E08" w:rsidP="00646E08">
      <w:pPr>
        <w:pStyle w:val="ListParagraph"/>
        <w:numPr>
          <w:ilvl w:val="0"/>
          <w:numId w:val="7"/>
        </w:numPr>
      </w:pPr>
      <w:r w:rsidRPr="00EA02A2">
        <w:rPr>
          <w:b/>
          <w:bCs/>
        </w:rPr>
        <w:t>Protecting investors:</w:t>
      </w:r>
      <w:r>
        <w:t xml:space="preserve"> By avoiding fraudulent activity and ensuring that firms give correct information.</w:t>
      </w:r>
      <w:r>
        <w:br/>
      </w:r>
    </w:p>
    <w:p w14:paraId="7B726670" w14:textId="77777777" w:rsidR="00646E08" w:rsidRDefault="00646E08" w:rsidP="00646E08">
      <w:pPr>
        <w:pStyle w:val="ListParagraph"/>
        <w:numPr>
          <w:ilvl w:val="0"/>
          <w:numId w:val="7"/>
        </w:numPr>
      </w:pPr>
      <w:r w:rsidRPr="00EA02A2">
        <w:rPr>
          <w:b/>
          <w:bCs/>
        </w:rPr>
        <w:t>Market Integrity:</w:t>
      </w:r>
      <w:r>
        <w:t xml:space="preserve"> To promote fair, orderly, and efficient markets via regulation and monitoring.</w:t>
      </w:r>
      <w:r>
        <w:br/>
      </w:r>
    </w:p>
    <w:p w14:paraId="6ED0D277" w14:textId="77777777" w:rsidR="00646E08" w:rsidRDefault="00646E08" w:rsidP="00646E08">
      <w:pPr>
        <w:pStyle w:val="ListParagraph"/>
        <w:numPr>
          <w:ilvl w:val="0"/>
          <w:numId w:val="7"/>
        </w:numPr>
      </w:pPr>
      <w:r w:rsidRPr="00EA02A2">
        <w:rPr>
          <w:b/>
          <w:bCs/>
        </w:rPr>
        <w:t>Promoting Capital Formation:</w:t>
      </w:r>
      <w:r>
        <w:t xml:space="preserve"> By making businesses reveal the data required to make wise investment choices.</w:t>
      </w:r>
    </w:p>
    <w:p w14:paraId="5C272221" w14:textId="77777777" w:rsidR="00646E08" w:rsidRPr="00EA02A2" w:rsidRDefault="00646E08" w:rsidP="00646E08">
      <w:pPr>
        <w:pStyle w:val="ListParagraph"/>
        <w:rPr>
          <w:b/>
          <w:bCs/>
        </w:rPr>
      </w:pPr>
    </w:p>
    <w:p w14:paraId="6455326A" w14:textId="77777777" w:rsidR="00646E08" w:rsidRDefault="00646E08" w:rsidP="00646E08">
      <w:pPr>
        <w:pStyle w:val="ListParagraph"/>
        <w:numPr>
          <w:ilvl w:val="0"/>
          <w:numId w:val="7"/>
        </w:numPr>
      </w:pPr>
      <w:r w:rsidRPr="00EA02A2">
        <w:rPr>
          <w:b/>
          <w:bCs/>
        </w:rPr>
        <w:t>Enforcement of Securities Laws:</w:t>
      </w:r>
      <w:r>
        <w:t xml:space="preserve"> Through investigations, punishments, and cooperation with law enforcement authorities.</w:t>
      </w:r>
    </w:p>
    <w:p w14:paraId="337BF1F6" w14:textId="77777777" w:rsidR="00646E08" w:rsidRDefault="00646E08" w:rsidP="00646E08">
      <w:pPr>
        <w:pStyle w:val="ListParagraph"/>
      </w:pPr>
    </w:p>
    <w:p w14:paraId="34FE41F6" w14:textId="77777777" w:rsidR="00646E08" w:rsidRDefault="00646E08" w:rsidP="00646E08">
      <w:pPr>
        <w:rPr>
          <w:b/>
          <w:bCs/>
          <w:sz w:val="32"/>
          <w:szCs w:val="32"/>
        </w:rPr>
      </w:pPr>
      <w:r w:rsidRPr="00EA02A2">
        <w:rPr>
          <w:b/>
          <w:bCs/>
          <w:sz w:val="32"/>
          <w:szCs w:val="32"/>
        </w:rPr>
        <w:t>Divisions &amp; Offices:</w:t>
      </w:r>
    </w:p>
    <w:p w14:paraId="19353ACF" w14:textId="77777777" w:rsidR="00646E08" w:rsidRDefault="00646E08" w:rsidP="00646E08">
      <w:r w:rsidRPr="00EA02A2">
        <w:lastRenderedPageBreak/>
        <w:t>The SEC is organized into specialized divisions and offices:</w:t>
      </w:r>
    </w:p>
    <w:p w14:paraId="2A1DD2C5" w14:textId="77777777" w:rsidR="00646E08" w:rsidRDefault="00646E08" w:rsidP="00646E08">
      <w:pPr>
        <w:pStyle w:val="ListParagraph"/>
        <w:numPr>
          <w:ilvl w:val="0"/>
          <w:numId w:val="8"/>
        </w:numPr>
      </w:pPr>
      <w:r>
        <w:t>Division of Corporation Finance</w:t>
      </w:r>
    </w:p>
    <w:p w14:paraId="552B928D" w14:textId="77777777" w:rsidR="00646E08" w:rsidRDefault="00646E08" w:rsidP="00646E08">
      <w:pPr>
        <w:pStyle w:val="ListParagraph"/>
        <w:numPr>
          <w:ilvl w:val="0"/>
          <w:numId w:val="8"/>
        </w:numPr>
      </w:pPr>
      <w:r>
        <w:t>Division of Trading &amp; Markets</w:t>
      </w:r>
    </w:p>
    <w:p w14:paraId="03A213E7" w14:textId="77777777" w:rsidR="00646E08" w:rsidRDefault="00646E08" w:rsidP="00646E08">
      <w:pPr>
        <w:pStyle w:val="ListParagraph"/>
        <w:numPr>
          <w:ilvl w:val="0"/>
          <w:numId w:val="8"/>
        </w:numPr>
      </w:pPr>
      <w:r>
        <w:t>Division of Investment Management</w:t>
      </w:r>
    </w:p>
    <w:p w14:paraId="7BE22EE0" w14:textId="77777777" w:rsidR="00646E08" w:rsidRDefault="00646E08" w:rsidP="00646E08">
      <w:pPr>
        <w:pStyle w:val="ListParagraph"/>
        <w:numPr>
          <w:ilvl w:val="0"/>
          <w:numId w:val="8"/>
        </w:numPr>
      </w:pPr>
      <w:r>
        <w:t>Division of Enforcement</w:t>
      </w:r>
    </w:p>
    <w:p w14:paraId="2F2D3CCA" w14:textId="77777777" w:rsidR="00646E08" w:rsidRDefault="00646E08" w:rsidP="00646E08">
      <w:pPr>
        <w:rPr>
          <w:b/>
          <w:bCs/>
          <w:sz w:val="32"/>
          <w:szCs w:val="32"/>
        </w:rPr>
      </w:pPr>
      <w:r w:rsidRPr="00EA02A2">
        <w:rPr>
          <w:b/>
          <w:bCs/>
          <w:sz w:val="32"/>
          <w:szCs w:val="32"/>
        </w:rPr>
        <w:t>Acts Under SEC:</w:t>
      </w:r>
    </w:p>
    <w:p w14:paraId="7581DD22" w14:textId="77777777" w:rsidR="00646E08" w:rsidRDefault="00646E08" w:rsidP="00646E08">
      <w:pPr>
        <w:rPr>
          <w:b/>
          <w:bCs/>
          <w:sz w:val="32"/>
          <w:szCs w:val="32"/>
        </w:rPr>
      </w:pPr>
      <w:r>
        <w:t>The SEC manages several key acts and regulations:</w:t>
      </w:r>
    </w:p>
    <w:p w14:paraId="120D53B2" w14:textId="77777777" w:rsidR="00646E08" w:rsidRPr="00EA02A2" w:rsidRDefault="00646E08" w:rsidP="00646E08">
      <w:pPr>
        <w:pStyle w:val="ListParagraph"/>
        <w:numPr>
          <w:ilvl w:val="0"/>
          <w:numId w:val="9"/>
        </w:numPr>
        <w:rPr>
          <w:b/>
          <w:bCs/>
          <w:sz w:val="32"/>
          <w:szCs w:val="32"/>
        </w:rPr>
      </w:pPr>
      <w:r w:rsidRPr="00EA02A2">
        <w:rPr>
          <w:b/>
          <w:bCs/>
        </w:rPr>
        <w:t>Securities Act of 1933:</w:t>
      </w:r>
      <w:r>
        <w:t xml:space="preserve"> Requires registration and complete disclosure for securities offers.</w:t>
      </w:r>
      <w:r>
        <w:br/>
      </w:r>
      <w:r>
        <w:rPr>
          <w:noProof/>
        </w:rPr>
        <w:drawing>
          <wp:inline distT="0" distB="0" distL="0" distR="0" wp14:anchorId="11EEC5F2" wp14:editId="102C932F">
            <wp:extent cx="1652270" cy="925195"/>
            <wp:effectExtent l="0" t="0" r="0" b="1905"/>
            <wp:docPr id="1981167699" name="Picture 4" descr="Securities Act of 1933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curities Act of 1933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2270" cy="925195"/>
                    </a:xfrm>
                    <a:prstGeom prst="rect">
                      <a:avLst/>
                    </a:prstGeom>
                    <a:noFill/>
                    <a:ln>
                      <a:noFill/>
                    </a:ln>
                  </pic:spPr>
                </pic:pic>
              </a:graphicData>
            </a:graphic>
          </wp:inline>
        </w:drawing>
      </w:r>
    </w:p>
    <w:p w14:paraId="24508E2F" w14:textId="77777777" w:rsidR="00646E08" w:rsidRPr="00EA02A2" w:rsidRDefault="00646E08" w:rsidP="00646E08">
      <w:pPr>
        <w:pStyle w:val="ListParagraph"/>
        <w:numPr>
          <w:ilvl w:val="0"/>
          <w:numId w:val="9"/>
        </w:numPr>
        <w:rPr>
          <w:b/>
          <w:bCs/>
          <w:sz w:val="32"/>
          <w:szCs w:val="32"/>
        </w:rPr>
      </w:pPr>
      <w:r w:rsidRPr="00EA02A2">
        <w:rPr>
          <w:b/>
          <w:bCs/>
        </w:rPr>
        <w:t>Securities Exchange Act of 1934:</w:t>
      </w:r>
      <w:r>
        <w:t xml:space="preserve"> governs secondary market transactions and mandates periodic business reporting.</w:t>
      </w:r>
      <w:r>
        <w:br/>
      </w:r>
    </w:p>
    <w:p w14:paraId="416B7598" w14:textId="77777777" w:rsidR="00646E08" w:rsidRPr="00EA02A2" w:rsidRDefault="00646E08" w:rsidP="00646E08">
      <w:pPr>
        <w:pStyle w:val="ListParagraph"/>
        <w:numPr>
          <w:ilvl w:val="0"/>
          <w:numId w:val="9"/>
        </w:numPr>
        <w:rPr>
          <w:b/>
          <w:bCs/>
          <w:sz w:val="32"/>
          <w:szCs w:val="32"/>
        </w:rPr>
      </w:pPr>
      <w:r w:rsidRPr="00EA02A2">
        <w:rPr>
          <w:b/>
          <w:bCs/>
        </w:rPr>
        <w:t>Investment Company Act of 1940:</w:t>
      </w:r>
      <w:r>
        <w:t xml:space="preserve"> Mutual funds are regulated to safeguard investor interests.</w:t>
      </w:r>
      <w:r>
        <w:br/>
      </w:r>
    </w:p>
    <w:p w14:paraId="528B1DDC" w14:textId="77777777" w:rsidR="00646E08" w:rsidRPr="00EA02A2" w:rsidRDefault="00646E08" w:rsidP="00646E08">
      <w:pPr>
        <w:pStyle w:val="ListParagraph"/>
        <w:numPr>
          <w:ilvl w:val="0"/>
          <w:numId w:val="9"/>
        </w:numPr>
        <w:rPr>
          <w:b/>
          <w:bCs/>
          <w:sz w:val="32"/>
          <w:szCs w:val="32"/>
        </w:rPr>
      </w:pPr>
      <w:r w:rsidRPr="00EA02A2">
        <w:rPr>
          <w:b/>
          <w:bCs/>
        </w:rPr>
        <w:t>Sarbanes-Oxley Act of 2002:</w:t>
      </w:r>
      <w:r>
        <w:t xml:space="preserve"> improves corporate governance and financial reporting standards.</w:t>
      </w:r>
    </w:p>
    <w:p w14:paraId="3E05725D" w14:textId="77777777" w:rsidR="00646E08" w:rsidRDefault="00646E08" w:rsidP="00646E08">
      <w:pPr>
        <w:rPr>
          <w:b/>
          <w:bCs/>
          <w:sz w:val="32"/>
          <w:szCs w:val="32"/>
        </w:rPr>
      </w:pPr>
      <w:r>
        <w:rPr>
          <w:b/>
          <w:bCs/>
          <w:sz w:val="32"/>
          <w:szCs w:val="32"/>
        </w:rPr>
        <w:t>Future Trends:</w:t>
      </w:r>
    </w:p>
    <w:p w14:paraId="720133C5" w14:textId="77777777" w:rsidR="00646E08" w:rsidRDefault="00646E08" w:rsidP="00646E08">
      <w:r>
        <w:t>Emerging developments, such as digital asset regulation, cybersecurity measures, and sustainable investment practices, are influencing the SEC's growing regulatory agenda to solve today's financial concerns.</w:t>
      </w:r>
    </w:p>
    <w:p w14:paraId="332C128A" w14:textId="77777777" w:rsidR="00646E08" w:rsidRDefault="00646E08" w:rsidP="00646E08">
      <w:pPr>
        <w:rPr>
          <w:b/>
          <w:bCs/>
          <w:sz w:val="32"/>
          <w:szCs w:val="32"/>
        </w:rPr>
      </w:pPr>
      <w:r w:rsidRPr="00BA3727">
        <w:rPr>
          <w:b/>
          <w:bCs/>
          <w:sz w:val="32"/>
          <w:szCs w:val="32"/>
        </w:rPr>
        <w:t>Conclusion:</w:t>
      </w:r>
    </w:p>
    <w:p w14:paraId="3CD00948" w14:textId="77777777" w:rsidR="00646E08" w:rsidRDefault="00646E08" w:rsidP="00646E08">
      <w:r>
        <w:t>Finally, the SEC continues to play an important role in protecting the integrity of US financial markets and the interests of investors. Continuous adaptation to new developments enables its efficacy in a rapidly changing global financial scene, boosting market confidence and supporting economic stability.</w:t>
      </w:r>
    </w:p>
    <w:p w14:paraId="1D856FD2" w14:textId="77777777" w:rsidR="00FF6B4A" w:rsidRDefault="00FF6B4A"/>
    <w:sectPr w:rsidR="00FF6B4A" w:rsidSect="00FF6B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1E3C"/>
    <w:multiLevelType w:val="hybridMultilevel"/>
    <w:tmpl w:val="832CBF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F06593"/>
    <w:multiLevelType w:val="hybridMultilevel"/>
    <w:tmpl w:val="FC8AFEAA"/>
    <w:lvl w:ilvl="0" w:tplc="FFFFFFFF">
      <w:start w:val="1"/>
      <w:numFmt w:val="decimal"/>
      <w:lvlText w:val="%1."/>
      <w:lvlJc w:val="left"/>
      <w:pPr>
        <w:ind w:left="720" w:hanging="360"/>
      </w:pPr>
      <w:rPr>
        <w:rFonts w:hint="default"/>
        <w:b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28071D"/>
    <w:multiLevelType w:val="hybridMultilevel"/>
    <w:tmpl w:val="8D3A50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00514D"/>
    <w:multiLevelType w:val="hybridMultilevel"/>
    <w:tmpl w:val="82BAC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310EBE"/>
    <w:multiLevelType w:val="hybridMultilevel"/>
    <w:tmpl w:val="1C542760"/>
    <w:lvl w:ilvl="0" w:tplc="BC327384">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EA2D0C"/>
    <w:multiLevelType w:val="hybridMultilevel"/>
    <w:tmpl w:val="1F8A32FA"/>
    <w:lvl w:ilvl="0" w:tplc="BC327384">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493AA7"/>
    <w:multiLevelType w:val="hybridMultilevel"/>
    <w:tmpl w:val="3056A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9649D2"/>
    <w:multiLevelType w:val="hybridMultilevel"/>
    <w:tmpl w:val="0D0A8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38649E"/>
    <w:multiLevelType w:val="hybridMultilevel"/>
    <w:tmpl w:val="FC8AFEAA"/>
    <w:lvl w:ilvl="0" w:tplc="BC327384">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490305">
    <w:abstractNumId w:val="6"/>
  </w:num>
  <w:num w:numId="2" w16cid:durableId="1592546461">
    <w:abstractNumId w:val="8"/>
  </w:num>
  <w:num w:numId="3" w16cid:durableId="373238782">
    <w:abstractNumId w:val="1"/>
  </w:num>
  <w:num w:numId="4" w16cid:durableId="1622806176">
    <w:abstractNumId w:val="0"/>
  </w:num>
  <w:num w:numId="5" w16cid:durableId="1636450114">
    <w:abstractNumId w:val="4"/>
  </w:num>
  <w:num w:numId="6" w16cid:durableId="2085881122">
    <w:abstractNumId w:val="7"/>
  </w:num>
  <w:num w:numId="7" w16cid:durableId="114832985">
    <w:abstractNumId w:val="3"/>
  </w:num>
  <w:num w:numId="8" w16cid:durableId="1029256123">
    <w:abstractNumId w:val="2"/>
  </w:num>
  <w:num w:numId="9" w16cid:durableId="1226331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4A"/>
    <w:rsid w:val="00646E08"/>
    <w:rsid w:val="008D70FE"/>
    <w:rsid w:val="00FF6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79F2"/>
  <w15:chartTrackingRefBased/>
  <w15:docId w15:val="{31E878B1-EF64-094F-A5EC-68AEEA87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B4A"/>
    <w:rPr>
      <w:rFonts w:eastAsiaTheme="majorEastAsia" w:cstheme="majorBidi"/>
      <w:color w:val="272727" w:themeColor="text1" w:themeTint="D8"/>
    </w:rPr>
  </w:style>
  <w:style w:type="paragraph" w:styleId="Title">
    <w:name w:val="Title"/>
    <w:basedOn w:val="Normal"/>
    <w:next w:val="Normal"/>
    <w:link w:val="TitleChar"/>
    <w:uiPriority w:val="10"/>
    <w:qFormat/>
    <w:rsid w:val="00FF6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B4A"/>
    <w:pPr>
      <w:spacing w:before="160"/>
      <w:jc w:val="center"/>
    </w:pPr>
    <w:rPr>
      <w:i/>
      <w:iCs/>
      <w:color w:val="404040" w:themeColor="text1" w:themeTint="BF"/>
    </w:rPr>
  </w:style>
  <w:style w:type="character" w:customStyle="1" w:styleId="QuoteChar">
    <w:name w:val="Quote Char"/>
    <w:basedOn w:val="DefaultParagraphFont"/>
    <w:link w:val="Quote"/>
    <w:uiPriority w:val="29"/>
    <w:rsid w:val="00FF6B4A"/>
    <w:rPr>
      <w:i/>
      <w:iCs/>
      <w:color w:val="404040" w:themeColor="text1" w:themeTint="BF"/>
    </w:rPr>
  </w:style>
  <w:style w:type="paragraph" w:styleId="ListParagraph">
    <w:name w:val="List Paragraph"/>
    <w:basedOn w:val="Normal"/>
    <w:uiPriority w:val="34"/>
    <w:qFormat/>
    <w:rsid w:val="00FF6B4A"/>
    <w:pPr>
      <w:ind w:left="720"/>
      <w:contextualSpacing/>
    </w:pPr>
  </w:style>
  <w:style w:type="character" w:styleId="IntenseEmphasis">
    <w:name w:val="Intense Emphasis"/>
    <w:basedOn w:val="DefaultParagraphFont"/>
    <w:uiPriority w:val="21"/>
    <w:qFormat/>
    <w:rsid w:val="00FF6B4A"/>
    <w:rPr>
      <w:i/>
      <w:iCs/>
      <w:color w:val="0F4761" w:themeColor="accent1" w:themeShade="BF"/>
    </w:rPr>
  </w:style>
  <w:style w:type="paragraph" w:styleId="IntenseQuote">
    <w:name w:val="Intense Quote"/>
    <w:basedOn w:val="Normal"/>
    <w:next w:val="Normal"/>
    <w:link w:val="IntenseQuoteChar"/>
    <w:uiPriority w:val="30"/>
    <w:qFormat/>
    <w:rsid w:val="00FF6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B4A"/>
    <w:rPr>
      <w:i/>
      <w:iCs/>
      <w:color w:val="0F4761" w:themeColor="accent1" w:themeShade="BF"/>
    </w:rPr>
  </w:style>
  <w:style w:type="character" w:styleId="IntenseReference">
    <w:name w:val="Intense Reference"/>
    <w:basedOn w:val="DefaultParagraphFont"/>
    <w:uiPriority w:val="32"/>
    <w:qFormat/>
    <w:rsid w:val="00FF6B4A"/>
    <w:rPr>
      <w:b/>
      <w:bCs/>
      <w:smallCaps/>
      <w:color w:val="0F4761" w:themeColor="accent1" w:themeShade="BF"/>
      <w:spacing w:val="5"/>
    </w:rPr>
  </w:style>
  <w:style w:type="paragraph" w:styleId="NoSpacing">
    <w:name w:val="No Spacing"/>
    <w:link w:val="NoSpacingChar"/>
    <w:uiPriority w:val="1"/>
    <w:qFormat/>
    <w:rsid w:val="00FF6B4A"/>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F6B4A"/>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&amp; Exchange commission</dc:title>
  <dc:subject/>
  <dc:creator>Parth Babbar</dc:creator>
  <cp:keywords/>
  <dc:description/>
  <cp:lastModifiedBy>Parth Babbar</cp:lastModifiedBy>
  <cp:revision>2</cp:revision>
  <dcterms:created xsi:type="dcterms:W3CDTF">2024-06-13T13:02:00Z</dcterms:created>
  <dcterms:modified xsi:type="dcterms:W3CDTF">2024-06-13T13:02:00Z</dcterms:modified>
</cp:coreProperties>
</file>