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8887372"/>
        <w:docPartObj>
          <w:docPartGallery w:val="Cover Pages"/>
          <w:docPartUnique/>
        </w:docPartObj>
      </w:sdtPr>
      <w:sdtContent>
        <w:p w14:paraId="25DBE390" w14:textId="7897E6D5" w:rsidR="00FC6330" w:rsidRDefault="00FC6330">
          <w:r>
            <w:rPr>
              <w:noProof/>
            </w:rPr>
            <mc:AlternateContent>
              <mc:Choice Requires="wpg">
                <w:drawing>
                  <wp:anchor distT="0" distB="0" distL="114300" distR="114300" simplePos="0" relativeHeight="251659264" behindDoc="1" locked="0" layoutInCell="1" allowOverlap="1" wp14:anchorId="7FB5D590" wp14:editId="7DCF013D">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ED4264" w14:textId="617C31FF" w:rsidR="00FC6330" w:rsidRDefault="00FC6330">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5118C527" w14:textId="3ECB4229" w:rsidR="00FC6330" w:rsidRDefault="00FC633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A5EFB6" w14:textId="01C49C43" w:rsidR="00FC6330" w:rsidRDefault="00FC633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tresaury mangement service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B5D590"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ED4264" w14:textId="617C31FF" w:rsidR="00FC6330" w:rsidRDefault="00FC6330">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5118C527" w14:textId="3ECB4229" w:rsidR="00FC6330" w:rsidRDefault="00FC633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A5EFB6" w14:textId="01C49C43" w:rsidR="00FC6330" w:rsidRDefault="00FC633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tresaury mangement service</w:t>
                                </w:r>
                              </w:p>
                            </w:sdtContent>
                          </w:sdt>
                        </w:txbxContent>
                      </v:textbox>
                    </v:shape>
                    <w10:wrap anchorx="page" anchory="page"/>
                  </v:group>
                </w:pict>
              </mc:Fallback>
            </mc:AlternateContent>
          </w:r>
        </w:p>
        <w:p w14:paraId="2CABC784" w14:textId="096F766D" w:rsidR="00FC6330" w:rsidRDefault="00FC6330">
          <w:r>
            <w:br w:type="page"/>
          </w:r>
        </w:p>
      </w:sdtContent>
    </w:sdt>
    <w:p w14:paraId="55C18D0F" w14:textId="77777777" w:rsidR="00FC6330" w:rsidRDefault="00FC6330" w:rsidP="00FC6330">
      <w:pPr>
        <w:spacing w:before="100" w:beforeAutospacing="1" w:after="100" w:afterAutospacing="1" w:line="240" w:lineRule="auto"/>
        <w:outlineLvl w:val="3"/>
        <w:rPr>
          <w:b/>
          <w:bCs/>
          <w:sz w:val="32"/>
          <w:szCs w:val="32"/>
        </w:rPr>
      </w:pPr>
      <w:r>
        <w:rPr>
          <w:b/>
          <w:bCs/>
          <w:sz w:val="32"/>
          <w:szCs w:val="32"/>
        </w:rPr>
        <w:lastRenderedPageBreak/>
        <w:t>Introduction:</w:t>
      </w:r>
    </w:p>
    <w:p w14:paraId="7D4D4C84" w14:textId="77777777" w:rsidR="00FC6330" w:rsidRDefault="00FC6330" w:rsidP="00FC6330">
      <w:pPr>
        <w:spacing w:before="100" w:beforeAutospacing="1" w:after="100" w:afterAutospacing="1" w:line="240" w:lineRule="auto"/>
        <w:outlineLvl w:val="3"/>
      </w:pPr>
      <w:r>
        <w:t>Treasury management is the strategic management of a company's cash flow and financial assets with the goal of optimising liquidity, mitigating risks, and maintaining financial stability. It covers critical services including cash management, payment processing, financial risk management, and investment management. Treasury management is the systematic technique used by financial institutions in the United States to manage liquidity, investments, risks, and financial transactions, ensuring that financial commitments are met while maximising operating efficiency and security.</w:t>
      </w:r>
    </w:p>
    <w:p w14:paraId="197D5C84" w14:textId="77777777" w:rsidR="00FC6330" w:rsidRDefault="00FC6330" w:rsidP="00FC6330">
      <w:pPr>
        <w:spacing w:before="100" w:beforeAutospacing="1" w:after="100" w:afterAutospacing="1" w:line="240" w:lineRule="auto"/>
        <w:outlineLvl w:val="3"/>
        <w:rPr>
          <w:b/>
          <w:bCs/>
          <w:sz w:val="32"/>
          <w:szCs w:val="32"/>
        </w:rPr>
      </w:pPr>
      <w:r w:rsidRPr="000218C3">
        <w:rPr>
          <w:b/>
          <w:bCs/>
          <w:sz w:val="32"/>
          <w:szCs w:val="32"/>
        </w:rPr>
        <w:t>Function:</w:t>
      </w:r>
    </w:p>
    <w:p w14:paraId="7952F177" w14:textId="77777777" w:rsidR="00FC6330" w:rsidRPr="00FB2B26" w:rsidRDefault="00FC6330" w:rsidP="00FC6330">
      <w:pPr>
        <w:pStyle w:val="ListParagraph"/>
        <w:numPr>
          <w:ilvl w:val="0"/>
          <w:numId w:val="1"/>
        </w:numPr>
        <w:spacing w:before="100" w:beforeAutospacing="1" w:after="100" w:afterAutospacing="1" w:line="240" w:lineRule="auto"/>
        <w:outlineLvl w:val="3"/>
        <w:rPr>
          <w:b/>
          <w:bCs/>
        </w:rPr>
      </w:pPr>
      <w:r w:rsidRPr="000218C3">
        <w:rPr>
          <w:b/>
          <w:bCs/>
        </w:rPr>
        <w:t>Cash Management:</w:t>
      </w:r>
      <w:r>
        <w:rPr>
          <w:b/>
          <w:bCs/>
        </w:rPr>
        <w:t xml:space="preserve"> </w:t>
      </w:r>
      <w:r>
        <w:t>Treasury management in banking strives to ensure that there is enough liquidity to meet operational demands. Key components include cash forecasting to estimate cash flows, liquidity management to ensure appropriate reserves, and efficient disbursement management to handle payments. Cash concentration techniques combine funds to simplify management and maximise liquidity.</w:t>
      </w:r>
      <w:r>
        <w:br/>
      </w:r>
    </w:p>
    <w:p w14:paraId="7E06674D" w14:textId="77777777" w:rsidR="00FC6330" w:rsidRPr="00FB2B26" w:rsidRDefault="00FC6330" w:rsidP="00FC6330">
      <w:pPr>
        <w:pStyle w:val="ListParagraph"/>
        <w:numPr>
          <w:ilvl w:val="0"/>
          <w:numId w:val="1"/>
        </w:numPr>
        <w:spacing w:before="100" w:beforeAutospacing="1" w:after="100" w:afterAutospacing="1" w:line="240" w:lineRule="auto"/>
        <w:outlineLvl w:val="3"/>
        <w:rPr>
          <w:b/>
          <w:bCs/>
        </w:rPr>
      </w:pPr>
      <w:r>
        <w:rPr>
          <w:b/>
          <w:bCs/>
        </w:rPr>
        <w:t>Payment Processing:</w:t>
      </w:r>
      <w:r>
        <w:t xml:space="preserve"> Electronic Funds Transfer (EFT) facilitates efficient and secure electronic payments, resulting in faster transactions. The Automated Clearing House (ACH) automates payment processing, decreasing manual work and increasing efficiency. Wire transfers allow you to send huge quantities of money quickly and securely. Each technique is important in modern financial transactions, meeting a variety of demands ranging from routine payments to high-value transfers.</w:t>
      </w:r>
      <w:r>
        <w:br/>
      </w:r>
    </w:p>
    <w:p w14:paraId="56B5E597" w14:textId="77777777" w:rsidR="00FC6330" w:rsidRPr="00FB2B26" w:rsidRDefault="00FC6330" w:rsidP="00FC6330">
      <w:pPr>
        <w:pStyle w:val="ListParagraph"/>
        <w:numPr>
          <w:ilvl w:val="0"/>
          <w:numId w:val="1"/>
        </w:numPr>
        <w:spacing w:before="100" w:beforeAutospacing="1" w:after="100" w:afterAutospacing="1" w:line="240" w:lineRule="auto"/>
        <w:outlineLvl w:val="3"/>
        <w:rPr>
          <w:b/>
          <w:bCs/>
        </w:rPr>
      </w:pPr>
      <w:r>
        <w:rPr>
          <w:b/>
          <w:bCs/>
        </w:rPr>
        <w:t>Risk Management:</w:t>
      </w:r>
      <w:r>
        <w:t xml:space="preserve"> Risk management entails methodically identifying, assessing, and managing financial hazards. Key components include managing interest rate and foreign exchange risks, assessing credit risk from borrower defaults, and addressing market and operational risks. These techniques strive to guarantee financial stability and resilience to uncertainty throughout organisational activities.</w:t>
      </w:r>
      <w:r>
        <w:br/>
      </w:r>
    </w:p>
    <w:p w14:paraId="1B35ABFF" w14:textId="77777777" w:rsidR="00FC6330" w:rsidRPr="00FB2B26" w:rsidRDefault="00FC6330" w:rsidP="00FC6330">
      <w:pPr>
        <w:pStyle w:val="ListParagraph"/>
        <w:numPr>
          <w:ilvl w:val="0"/>
          <w:numId w:val="1"/>
        </w:numPr>
        <w:spacing w:before="100" w:beforeAutospacing="1" w:after="100" w:afterAutospacing="1" w:line="240" w:lineRule="auto"/>
        <w:outlineLvl w:val="3"/>
        <w:rPr>
          <w:b/>
          <w:bCs/>
        </w:rPr>
      </w:pPr>
      <w:r>
        <w:rPr>
          <w:b/>
          <w:bCs/>
        </w:rPr>
        <w:t>Investment Management:</w:t>
      </w:r>
      <w:r>
        <w:t xml:space="preserve"> Managing surplus cash seeks to maximise returns while limiting risks through strategic portfolio management, yield management within set risk criteria, and adherence to regulatory and internal rules. Short-term investments in money market instruments and debt management balance risk and return, whilst access to capital markets increases liquidity and investment options. These solutions strive to accomplish effective cash management by maximising profitability and guaranteeing sensible risk management across a variety of financial landscapes.</w:t>
      </w:r>
      <w:r>
        <w:br/>
      </w:r>
    </w:p>
    <w:p w14:paraId="75141CD1" w14:textId="77777777" w:rsidR="00FC6330" w:rsidRPr="00FB2B26" w:rsidRDefault="00FC6330" w:rsidP="00FC6330">
      <w:pPr>
        <w:spacing w:before="100" w:beforeAutospacing="1" w:after="100" w:afterAutospacing="1" w:line="240" w:lineRule="auto"/>
        <w:outlineLvl w:val="3"/>
        <w:rPr>
          <w:b/>
          <w:bCs/>
          <w:sz w:val="32"/>
          <w:szCs w:val="32"/>
        </w:rPr>
      </w:pPr>
      <w:r>
        <w:rPr>
          <w:b/>
          <w:bCs/>
          <w:sz w:val="32"/>
          <w:szCs w:val="32"/>
        </w:rPr>
        <w:t>Trends:</w:t>
      </w:r>
    </w:p>
    <w:p w14:paraId="1FA26D32" w14:textId="77777777" w:rsidR="00FC6330" w:rsidRPr="00FB2B26" w:rsidRDefault="00FC6330" w:rsidP="00FC6330">
      <w:pPr>
        <w:pStyle w:val="ListParagraph"/>
        <w:numPr>
          <w:ilvl w:val="0"/>
          <w:numId w:val="2"/>
        </w:numPr>
        <w:spacing w:before="100" w:beforeAutospacing="1" w:after="100" w:afterAutospacing="1" w:line="240" w:lineRule="auto"/>
        <w:outlineLvl w:val="3"/>
        <w:rPr>
          <w:b/>
          <w:bCs/>
        </w:rPr>
      </w:pPr>
      <w:r>
        <w:rPr>
          <w:b/>
          <w:bCs/>
        </w:rPr>
        <w:lastRenderedPageBreak/>
        <w:t xml:space="preserve">Digital Transformation: </w:t>
      </w:r>
      <w:r>
        <w:t>Automation in treasury processes boosts efficiency and accuracy, while Blockchain and Distributed Ledger Technology increase transaction transparency and security. Predictive analytics and improved risk management are enabled by artificial intelligence and machine learning, which rely on data to make educated decisions. These technologies foster innovation in treasury management, improving performance and resilience in the digital economy.</w:t>
      </w:r>
      <w:r>
        <w:br/>
      </w:r>
    </w:p>
    <w:p w14:paraId="3543E6F7" w14:textId="77777777" w:rsidR="00FC6330" w:rsidRPr="00FB2B26" w:rsidRDefault="00FC6330" w:rsidP="00FC6330">
      <w:pPr>
        <w:pStyle w:val="ListParagraph"/>
        <w:numPr>
          <w:ilvl w:val="0"/>
          <w:numId w:val="2"/>
        </w:numPr>
        <w:spacing w:before="100" w:beforeAutospacing="1" w:after="100" w:afterAutospacing="1" w:line="240" w:lineRule="auto"/>
        <w:outlineLvl w:val="3"/>
        <w:rPr>
          <w:b/>
          <w:bCs/>
        </w:rPr>
      </w:pPr>
      <w:r>
        <w:rPr>
          <w:b/>
          <w:bCs/>
        </w:rPr>
        <w:t xml:space="preserve">Regulatory: </w:t>
      </w:r>
      <w:r>
        <w:t>The Dodd-Frank Act establishes tough regulatory criteria for banks' treasury operations in order to increase financial sector transparency and stability. It reduces systemic risk while improving regulation of derivatives trading and consumer protection. Basel III mandates increased capital and liquidity requirements worldwide to boost banks' resilience to economic shocks and financial crises. These restrictions have a substantial impact on banks' operational and risk management practices, which helps to maintain a more stable financial system.</w:t>
      </w:r>
      <w:r>
        <w:br/>
      </w:r>
    </w:p>
    <w:p w14:paraId="0900565E" w14:textId="77777777" w:rsidR="00FC6330" w:rsidRPr="00FB2B26" w:rsidRDefault="00FC6330" w:rsidP="00FC6330">
      <w:pPr>
        <w:pStyle w:val="ListParagraph"/>
        <w:numPr>
          <w:ilvl w:val="0"/>
          <w:numId w:val="2"/>
        </w:numPr>
        <w:spacing w:before="100" w:beforeAutospacing="1" w:after="100" w:afterAutospacing="1" w:line="240" w:lineRule="auto"/>
        <w:outlineLvl w:val="3"/>
        <w:rPr>
          <w:b/>
          <w:bCs/>
        </w:rPr>
      </w:pPr>
      <w:r>
        <w:rPr>
          <w:b/>
          <w:bCs/>
        </w:rPr>
        <w:t>ESG:</w:t>
      </w:r>
      <w:r>
        <w:t xml:space="preserve"> Sustainable investing focuses on incorporating Environmental, Social, and Governance (ESG) considerations into investment decisions, reflecting a rising commitment to ethical and sustainable practices. Green bonds are increasingly being issued to fund environmentally friendly projects, encouraging investments in sustainability programmes and climate change mitigation. Together, these developments indicate a shift towards more responsible investing methods that prioritise beneficial social and environmental benefits in addition to financial gains.</w:t>
      </w:r>
      <w:r>
        <w:br/>
      </w:r>
    </w:p>
    <w:p w14:paraId="6CFE164F" w14:textId="77777777" w:rsidR="00FC6330" w:rsidRDefault="00FC6330" w:rsidP="00FC6330">
      <w:pPr>
        <w:spacing w:before="100" w:beforeAutospacing="1" w:after="100" w:afterAutospacing="1" w:line="240" w:lineRule="auto"/>
        <w:outlineLvl w:val="3"/>
        <w:rPr>
          <w:b/>
          <w:bCs/>
          <w:sz w:val="32"/>
          <w:szCs w:val="32"/>
        </w:rPr>
      </w:pPr>
      <w:r w:rsidRPr="00FB2B26">
        <w:rPr>
          <w:b/>
          <w:bCs/>
          <w:sz w:val="32"/>
          <w:szCs w:val="32"/>
        </w:rPr>
        <w:t>Statistics:</w:t>
      </w:r>
    </w:p>
    <w:p w14:paraId="6AAABD72" w14:textId="77777777" w:rsidR="00FC6330" w:rsidRDefault="00FC6330" w:rsidP="00FC6330">
      <w:pPr>
        <w:pStyle w:val="ListParagraph"/>
        <w:numPr>
          <w:ilvl w:val="0"/>
          <w:numId w:val="3"/>
        </w:numPr>
        <w:spacing w:before="100" w:beforeAutospacing="1" w:after="100" w:afterAutospacing="1" w:line="240" w:lineRule="auto"/>
        <w:outlineLvl w:val="3"/>
      </w:pPr>
      <w:r>
        <w:t>The global treasury management system market is predicted to be worth $5.1 billion in 2023, rising to $12.6 billion by 2030.</w:t>
      </w:r>
      <w:r>
        <w:br/>
      </w:r>
      <w:r>
        <w:rPr>
          <w:noProof/>
        </w:rPr>
        <w:drawing>
          <wp:inline distT="0" distB="0" distL="0" distR="0" wp14:anchorId="0F2DBDCC" wp14:editId="68D6E524">
            <wp:extent cx="4441371" cy="2244624"/>
            <wp:effectExtent l="0" t="0" r="3810" b="3810"/>
            <wp:docPr id="2088046351" name="Picture 3" descr="Treasury Management Market Size, Tre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asury Management Market Size, Trend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857" cy="2256494"/>
                    </a:xfrm>
                    <a:prstGeom prst="rect">
                      <a:avLst/>
                    </a:prstGeom>
                    <a:noFill/>
                    <a:ln>
                      <a:noFill/>
                    </a:ln>
                  </pic:spPr>
                </pic:pic>
              </a:graphicData>
            </a:graphic>
          </wp:inline>
        </w:drawing>
      </w:r>
    </w:p>
    <w:p w14:paraId="3332BC12" w14:textId="77777777" w:rsidR="00FC6330" w:rsidRDefault="00FC6330" w:rsidP="00FC6330">
      <w:pPr>
        <w:pStyle w:val="ListParagraph"/>
        <w:numPr>
          <w:ilvl w:val="0"/>
          <w:numId w:val="3"/>
        </w:numPr>
        <w:spacing w:before="100" w:beforeAutospacing="1" w:after="100" w:afterAutospacing="1" w:line="240" w:lineRule="auto"/>
        <w:outlineLvl w:val="3"/>
      </w:pPr>
      <w:r>
        <w:t>Over 85% of big firms in the United States employ some sort of treasury management services, with a rising preference for integrated and automated systems.</w:t>
      </w:r>
      <w:r>
        <w:br/>
      </w:r>
    </w:p>
    <w:p w14:paraId="3C65C978" w14:textId="77777777" w:rsidR="00FC6330" w:rsidRDefault="00FC6330" w:rsidP="00FC6330">
      <w:pPr>
        <w:spacing w:before="100" w:beforeAutospacing="1" w:after="100" w:afterAutospacing="1" w:line="240" w:lineRule="auto"/>
        <w:outlineLvl w:val="3"/>
        <w:rPr>
          <w:b/>
          <w:bCs/>
          <w:sz w:val="32"/>
          <w:szCs w:val="32"/>
        </w:rPr>
      </w:pPr>
      <w:r w:rsidRPr="00835205">
        <w:rPr>
          <w:b/>
          <w:bCs/>
          <w:sz w:val="32"/>
          <w:szCs w:val="32"/>
        </w:rPr>
        <w:lastRenderedPageBreak/>
        <w:t>Conclusion:</w:t>
      </w:r>
    </w:p>
    <w:p w14:paraId="27EECCA6" w14:textId="77777777" w:rsidR="00FC6330" w:rsidRDefault="00FC6330" w:rsidP="00FC6330">
      <w:pPr>
        <w:spacing w:before="100" w:beforeAutospacing="1" w:after="100" w:afterAutospacing="1" w:line="240" w:lineRule="auto"/>
        <w:outlineLvl w:val="3"/>
      </w:pPr>
      <w:r>
        <w:t>Treasury management is an essential job in US banking, ensuring that financial institutions retain liquidity, optimise investments, and efficiently manage risks. Treasury management practices are evolving in response to continuous digital transformation, regulatory changes, and a rising emphasis on ESG, creating new possibilities and challenges for banks and their clients.</w:t>
      </w:r>
    </w:p>
    <w:p w14:paraId="457716F8" w14:textId="77777777" w:rsidR="00FC6330" w:rsidRDefault="00FC6330"/>
    <w:sectPr w:rsidR="00FC6330" w:rsidSect="00FC63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42CB0"/>
    <w:multiLevelType w:val="hybridMultilevel"/>
    <w:tmpl w:val="DC182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8E38D0"/>
    <w:multiLevelType w:val="hybridMultilevel"/>
    <w:tmpl w:val="66F087E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4F7614"/>
    <w:multiLevelType w:val="hybridMultilevel"/>
    <w:tmpl w:val="98381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566463">
    <w:abstractNumId w:val="0"/>
  </w:num>
  <w:num w:numId="2" w16cid:durableId="1653833530">
    <w:abstractNumId w:val="1"/>
  </w:num>
  <w:num w:numId="3" w16cid:durableId="88999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30"/>
    <w:rsid w:val="00A955C4"/>
    <w:rsid w:val="00FC6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174C"/>
  <w15:chartTrackingRefBased/>
  <w15:docId w15:val="{9A5A433E-9039-1742-A4A3-CE0BC9DF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330"/>
    <w:rPr>
      <w:rFonts w:eastAsiaTheme="majorEastAsia" w:cstheme="majorBidi"/>
      <w:color w:val="272727" w:themeColor="text1" w:themeTint="D8"/>
    </w:rPr>
  </w:style>
  <w:style w:type="paragraph" w:styleId="Title">
    <w:name w:val="Title"/>
    <w:basedOn w:val="Normal"/>
    <w:next w:val="Normal"/>
    <w:link w:val="TitleChar"/>
    <w:uiPriority w:val="10"/>
    <w:qFormat/>
    <w:rsid w:val="00FC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330"/>
    <w:pPr>
      <w:spacing w:before="160"/>
      <w:jc w:val="center"/>
    </w:pPr>
    <w:rPr>
      <w:i/>
      <w:iCs/>
      <w:color w:val="404040" w:themeColor="text1" w:themeTint="BF"/>
    </w:rPr>
  </w:style>
  <w:style w:type="character" w:customStyle="1" w:styleId="QuoteChar">
    <w:name w:val="Quote Char"/>
    <w:basedOn w:val="DefaultParagraphFont"/>
    <w:link w:val="Quote"/>
    <w:uiPriority w:val="29"/>
    <w:rsid w:val="00FC6330"/>
    <w:rPr>
      <w:i/>
      <w:iCs/>
      <w:color w:val="404040" w:themeColor="text1" w:themeTint="BF"/>
    </w:rPr>
  </w:style>
  <w:style w:type="paragraph" w:styleId="ListParagraph">
    <w:name w:val="List Paragraph"/>
    <w:basedOn w:val="Normal"/>
    <w:uiPriority w:val="34"/>
    <w:qFormat/>
    <w:rsid w:val="00FC6330"/>
    <w:pPr>
      <w:ind w:left="720"/>
      <w:contextualSpacing/>
    </w:pPr>
  </w:style>
  <w:style w:type="character" w:styleId="IntenseEmphasis">
    <w:name w:val="Intense Emphasis"/>
    <w:basedOn w:val="DefaultParagraphFont"/>
    <w:uiPriority w:val="21"/>
    <w:qFormat/>
    <w:rsid w:val="00FC6330"/>
    <w:rPr>
      <w:i/>
      <w:iCs/>
      <w:color w:val="0F4761" w:themeColor="accent1" w:themeShade="BF"/>
    </w:rPr>
  </w:style>
  <w:style w:type="paragraph" w:styleId="IntenseQuote">
    <w:name w:val="Intense Quote"/>
    <w:basedOn w:val="Normal"/>
    <w:next w:val="Normal"/>
    <w:link w:val="IntenseQuoteChar"/>
    <w:uiPriority w:val="30"/>
    <w:qFormat/>
    <w:rsid w:val="00FC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330"/>
    <w:rPr>
      <w:i/>
      <w:iCs/>
      <w:color w:val="0F4761" w:themeColor="accent1" w:themeShade="BF"/>
    </w:rPr>
  </w:style>
  <w:style w:type="character" w:styleId="IntenseReference">
    <w:name w:val="Intense Reference"/>
    <w:basedOn w:val="DefaultParagraphFont"/>
    <w:uiPriority w:val="32"/>
    <w:qFormat/>
    <w:rsid w:val="00FC6330"/>
    <w:rPr>
      <w:b/>
      <w:bCs/>
      <w:smallCaps/>
      <w:color w:val="0F4761" w:themeColor="accent1" w:themeShade="BF"/>
      <w:spacing w:val="5"/>
    </w:rPr>
  </w:style>
  <w:style w:type="paragraph" w:styleId="NoSpacing">
    <w:name w:val="No Spacing"/>
    <w:link w:val="NoSpacingChar"/>
    <w:uiPriority w:val="1"/>
    <w:qFormat/>
    <w:rsid w:val="00FC6330"/>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C6330"/>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tresaury mangement service</dc:title>
  <dc:subject/>
  <dc:creator>Parth Babbar</dc:creator>
  <cp:keywords/>
  <dc:description/>
  <cp:lastModifiedBy>Parth Babbar</cp:lastModifiedBy>
  <cp:revision>1</cp:revision>
  <dcterms:created xsi:type="dcterms:W3CDTF">2024-06-20T10:47:00Z</dcterms:created>
  <dcterms:modified xsi:type="dcterms:W3CDTF">2024-06-20T10:48:00Z</dcterms:modified>
</cp:coreProperties>
</file>