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497D"/>
          <w:sz w:val="72"/>
          <w:szCs w:val="72"/>
        </w:rPr>
        <w:t xml:space="preserve">bs.Data</w:t>
      </w:r>
    </w:p>
    <w:p>
      <w:pPr>
        <w:spacing w:after="120" w:before="0"/>
        <w:jc w:val="center"/>
      </w:pPr>
      <w:r>
        <w:rPr>
          <w:rFonts w:ascii="Arial" w:cs="Arial" w:eastAsia="Arial" w:hAnsi="Arial"/>
          <w:color w:val="444444"/>
          <w:sz w:val="30"/>
          <w:szCs w:val="30"/>
        </w:rPr>
        <w:t xml:space="preserve">Analisi della Codebase e Piano di Stabilizzazione</w:t>
      </w:r>
    </w:p>
    <w:p>
      <w:pPr>
        <w:spacing w:after="60" w:before="60"/>
        <w:jc w:val="center"/>
      </w:pPr>
      <w:r>
        <w:rPr>
          <w:rFonts w:ascii="Arial" w:cs="Arial" w:eastAsia="Arial" w:hAnsi="Arial"/>
          <w:color w:val="888888"/>
          <w:sz w:val="20"/>
          <w:szCs w:val="20"/>
        </w:rPr>
        <w:t xml:space="preserve">Versione corrente: 5.2.1  •  Target: net8.0  •  NHibernate 5.5.2</w:t>
      </w:r>
    </w:p>
    <w:p>
      <w:pPr>
        <w:spacing w:after="1400" w:before="60"/>
        <w:jc w:val="center"/>
      </w:pPr>
      <w:r>
        <w:rPr>
          <w:rFonts w:ascii="Arial" w:cs="Arial" w:eastAsia="Arial" w:hAnsi="Arial"/>
          <w:color w:val="888888"/>
          <w:sz w:val="20"/>
          <w:szCs w:val="20"/>
        </w:rPr>
        <w:t xml:space="preserve">Fabio Cavallari  •  bSoft Solutions  •  02/07/2026</w:t>
      </w:r>
    </w:p>
    <w:p>
      <w:pPr>
        <w:pageBreakBefore/>
      </w:pPr>
      <w:r>
        <w:t xml:space="preserve"/>
      </w:r>
    </w:p>
    <w:p>
      <w:pPr>
        <w:pStyle w:val="Heading1"/>
        <w:spacing w:after="120" w:before="360"/>
      </w:pPr>
      <w:r>
        <w:rPr>
          <w:rFonts w:ascii="Arial" w:cs="Arial" w:eastAsia="Arial" w:hAnsi="Arial"/>
          <w:b/>
          <w:bCs/>
          <w:color w:val="1F497D"/>
          <w:sz w:val="32"/>
          <w:szCs w:val="32"/>
        </w:rPr>
        <w:t xml:space="preserve">Executive Summary</w:t>
      </w:r>
    </w:p>
    <w:p>
      <w:pPr>
        <w:spacing w:after="80" w:before="80"/>
      </w:pPr>
      <w:r>
        <w:rPr>
          <w:rFonts w:ascii="Arial" w:cs="Arial" w:eastAsia="Arial" w:hAnsi="Arial"/>
          <w:sz w:val="20"/>
          <w:szCs w:val="20"/>
        </w:rPr>
        <w:t xml:space="preserve">L'analisi dell'intera codebase di bs.Data (v5.2.1) ha identificato 5 bug critici o ad alto impatto, 4 problematiche di qualita' del codice e 3 aree di miglioramento delle dipendenze. Tutte le correzioni proposte sono backward-compatible e non introducono breaking change per le applicazioni enterprise che consumano la libreria.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6000" w:sz="6"/>
              <w:left w:val="single" w:color="E06000" w:sz="24"/>
              <w:bottom w:val="single" w:color="E06000" w:sz="6"/>
              <w:right w:val="single" w:color="E06000" w:sz="6"/>
            </w:tcBorders>
            <w:shd w:fill="FCE4D6" w:val="clear"/>
            <w:tcMar>
              <w:top w:type="dxa" w:w="100"/>
              <w:left w:type="dxa" w:w="200"/>
              <w:bottom w:type="dxa" w:w="100"/>
              <w:right w:type="dxa" w:w="200"/>
            </w:tcMar>
          </w:tcPr>
          <w:p>
            <w:r>
              <w:rPr>
                <w:rFonts w:ascii="Arial" w:cs="Arial" w:eastAsia="Arial" w:hAnsi="Arial"/>
                <w:sz w:val="19"/>
                <w:szCs w:val="19"/>
              </w:rPr>
              <w:t xml:space="preserve">ATTENZIONE - Bug ad impatto silenzioso: il meccanismo di retry su deadlock SQL Server non ha MAI funzionato a causa di un errore nell'uso di SqlException.ErrorCode al posto di SqlException.Number. Questo bug e' presente in produzione e causa eccezioni immediate invece dei retry configurati.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2826"/>
      </w:tblGrid>
      <w:tr>
        <w:trPr>
          <w:tblHeader/>
        </w:trPr>
        <w:tc>
          <w:tcPr>
            <w:tcW w:type="dxa" w:w="30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Categoria</w:t>
            </w:r>
          </w:p>
        </w:tc>
        <w:tc>
          <w:tcPr>
            <w:tcW w:type="dxa" w:w="16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Critici</w:t>
            </w:r>
          </w:p>
        </w:tc>
        <w:tc>
          <w:tcPr>
            <w:tcW w:type="dxa" w:w="16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Alti</w:t>
            </w:r>
          </w:p>
        </w:tc>
        <w:tc>
          <w:tcPr>
            <w:tcW w:type="dxa" w:w="2826"/>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Medi/Bassi</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Bug funzionali</w:t>
            </w:r>
          </w:p>
        </w:tc>
        <w:tc>
          <w:tcPr>
            <w:tcW w:type="dxa" w:w="16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1600"/>
            <w:tcBorders>
              <w:top w:val="single" w:color="CCCCCC" w:sz="1"/>
              <w:left w:val="single" w:color="CCCCCC" w:sz="1"/>
              <w:bottom w:val="single" w:color="CCCCCC" w:sz="1"/>
              <w:right w:val="single" w:color="CCCCCC" w:sz="1"/>
            </w:tcBorders>
            <w:shd w:fill="E06000"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sz w:val="22"/>
                <w:szCs w:val="22"/>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Qualita' del codice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12121"/>
                <w:sz w:val="22"/>
                <w:szCs w:val="22"/>
              </w:rPr>
              <w:t xml:space="preserve">—</w:t>
            </w:r>
          </w:p>
        </w:tc>
        <w:tc>
          <w:tcPr>
            <w:tcW w:type="dxa" w:w="1600"/>
            <w:tcBorders>
              <w:top w:val="single" w:color="CCCCCC" w:sz="1"/>
              <w:left w:val="single" w:color="CCCCCC" w:sz="1"/>
              <w:bottom w:val="single" w:color="CCCCCC" w:sz="1"/>
              <w:right w:val="single" w:color="CCCCCC" w:sz="1"/>
            </w:tcBorders>
            <w:shd w:fill="E06000"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sz w:val="22"/>
                <w:szCs w:val="22"/>
              </w:rPr>
              <w:t xml:space="preserve">3</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Dipendenze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12121"/>
                <w:sz w:val="22"/>
                <w:szCs w:val="22"/>
              </w:rPr>
              <w:t xml:space="preserve">—</w:t>
            </w:r>
          </w:p>
        </w:tc>
        <w:tc>
          <w:tcPr>
            <w:tcW w:type="dxa" w:w="1600"/>
            <w:tcBorders>
              <w:top w:val="single" w:color="CCCCCC" w:sz="1"/>
              <w:left w:val="single" w:color="CCCCCC" w:sz="1"/>
              <w:bottom w:val="single" w:color="CCCCCC" w:sz="1"/>
              <w:right w:val="single" w:color="CCCCCC" w:sz="1"/>
            </w:tcBorders>
            <w:shd w:fill="E06000"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sz w:val="22"/>
                <w:szCs w:val="22"/>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Documentazione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12121"/>
                <w:sz w:val="22"/>
                <w:szCs w:val="22"/>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212121"/>
                <w:sz w:val="22"/>
                <w:szCs w:val="22"/>
              </w:rPr>
              <w:t xml:space="preserve">—</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sz w:val="22"/>
                <w:szCs w:val="22"/>
              </w:rPr>
              <w:t xml:space="preserve">2</w:t>
            </w:r>
          </w:p>
        </w:tc>
      </w:tr>
    </w:tbl>
    <w:p>
      <w:pPr>
        <w:spacing w:after="60" w:before="60"/>
      </w:pPr>
      <w:r>
        <w:t xml:space="preserve"/>
      </w:r>
    </w:p>
    <w:p>
      <w:pPr>
        <w:pageBreakBefore/>
      </w:pPr>
      <w:r>
        <w:t xml:space="preserve"/>
      </w:r>
    </w:p>
    <w:p>
      <w:pPr>
        <w:pStyle w:val="Heading1"/>
        <w:spacing w:after="120" w:before="360"/>
      </w:pPr>
      <w:r>
        <w:rPr>
          <w:rFonts w:ascii="Arial" w:cs="Arial" w:eastAsia="Arial" w:hAnsi="Arial"/>
          <w:b/>
          <w:bCs/>
          <w:color w:val="1F497D"/>
          <w:sz w:val="32"/>
          <w:szCs w:val="32"/>
        </w:rPr>
        <w:t xml:space="preserve">1. Bug Critici e Funzionali</w:t>
      </w:r>
    </w:p>
    <w:p>
      <w:pPr>
        <w:pStyle w:val="Heading2"/>
        <w:spacing w:after="80" w:before="280"/>
      </w:pPr>
      <w:r>
        <w:rPr>
          <w:rFonts w:ascii="Arial" w:cs="Arial" w:eastAsia="Arial" w:hAnsi="Arial"/>
          <w:b/>
          <w:bCs/>
          <w:color w:val="1F497D"/>
          <w:sz w:val="26"/>
          <w:szCs w:val="26"/>
        </w:rPr>
        <w:t xml:space="preserve">BUG-01 - Deadlock Retry non funziona mai (CRITICO)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6"/>
              <w:left w:val="single" w:color="C00000" w:sz="24"/>
              <w:bottom w:val="single" w:color="C00000" w:sz="6"/>
              <w:right w:val="single" w:color="C00000" w:sz="6"/>
            </w:tcBorders>
            <w:shd w:fill="FFCCCC" w:val="clear"/>
            <w:tcMar>
              <w:top w:type="dxa" w:w="100"/>
              <w:left w:type="dxa" w:w="200"/>
              <w:bottom w:type="dxa" w:w="100"/>
              <w:right w:type="dxa" w:w="200"/>
            </w:tcMar>
          </w:tcPr>
          <w:p>
            <w:r>
              <w:rPr>
                <w:rFonts w:ascii="Arial" w:cs="Arial" w:eastAsia="Arial" w:hAnsi="Arial"/>
                <w:sz w:val="19"/>
                <w:szCs w:val="19"/>
              </w:rPr>
              <w:t xml:space="preserve">CRITICO - Questo bug e' attivo in produzione. Il meccanismo di retry su deadlock SQL Server non ha eseguito un singolo retry dall'introduzione di questa funzionalita'.</w:t>
            </w:r>
          </w:p>
        </w:tc>
      </w:tr>
    </w:tbl>
    <w:p>
      <w:pPr>
        <w:spacing w:after="60" w:before="60"/>
      </w:pPr>
      <w:r>
        <w:t xml:space="preserve"/>
      </w:r>
    </w:p>
    <w:p>
      <w:pPr>
        <w:pStyle w:val="Heading3"/>
        <w:spacing w:after="60" w:before="200"/>
      </w:pPr>
      <w:r>
        <w:rPr>
          <w:rFonts w:ascii="Arial" w:cs="Arial" w:eastAsia="Arial" w:hAnsi="Arial"/>
          <w:b/>
          <w:bCs/>
          <w:color w:val="444444"/>
          <w:sz w:val="22"/>
          <w:szCs w:val="22"/>
        </w:rPr>
        <w:t xml:space="preserve">File: bs.Data/Helpers/SqlServerExceptions.cs</w:t>
      </w:r>
    </w:p>
    <w:p>
      <w:pPr>
        <w:spacing w:after="80" w:before="80"/>
      </w:pPr>
      <w:r>
        <w:rPr>
          <w:rFonts w:ascii="Arial" w:cs="Arial" w:eastAsia="Arial" w:hAnsi="Arial"/>
          <w:sz w:val="20"/>
          <w:szCs w:val="20"/>
        </w:rPr>
        <w:t xml:space="preserve">La proprieta' SqlException.ErrorCode restituisce l'HRESULT COM dell'eccezione, che per tutte le eccezioni SQL Server vale costantemente -2146232060. Il numero di errore SQL Server per i deadlock (1205) si trova invece nella proprieta' SqlException.Number.</w:t>
      </w:r>
    </w:p>
    <w:p>
      <w:pPr>
        <w:spacing w:after="60" w:before="60"/>
      </w:pPr>
      <w:r>
        <w:t xml:space="preserve"/>
      </w:r>
    </w:p>
    <w:p>
      <w:pPr>
        <w:spacing w:after="80" w:before="80"/>
      </w:pPr>
      <w:r>
        <w:rPr>
          <w:rFonts w:ascii="Arial" w:cs="Arial" w:eastAsia="Arial" w:hAnsi="Arial"/>
          <w:b/>
          <w:bCs/>
          <w:sz w:val="19"/>
          <w:szCs w:val="19"/>
        </w:rPr>
        <w:t xml:space="preserve">Codice attuale (errato):</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SBAGLIATO: ErrorCode e' sempre -2146232060 per ogni SqlException</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return realException.ErrorCode == 1205;  // Sempre FALSE -&gt; mai retry</w:t>
      </w:r>
    </w:p>
    <w:p>
      <w:pPr>
        <w:spacing w:after="60" w:before="60"/>
      </w:pPr>
      <w:r>
        <w:t xml:space="preserve"/>
      </w:r>
    </w:p>
    <w:p>
      <w:pPr>
        <w:spacing w:after="80" w:before="80"/>
      </w:pPr>
      <w:r>
        <w:rPr>
          <w:rFonts w:ascii="Arial" w:cs="Arial" w:eastAsia="Arial" w:hAnsi="Arial"/>
          <w:b/>
          <w:bCs/>
          <w:color w:val="375623"/>
          <w:sz w:val="19"/>
          <w:szCs w:val="19"/>
        </w:rPr>
        <w:t xml:space="preserve">Correzione (1 riga):</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CORRETTO: Number e' il codice SQL Server (1205 = deadlock)</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return realException.Number == 1205;</w:t>
      </w:r>
    </w:p>
    <w:p>
      <w:pPr>
        <w:spacing w:after="60" w:before="60"/>
      </w:pPr>
      <w:r>
        <w:t xml:space="preserve"/>
      </w:r>
    </w:p>
    <w:p>
      <w:pPr>
        <w:spacing w:after="80" w:before="80"/>
      </w:pPr>
      <w:r>
        <w:rPr>
          <w:rFonts w:ascii="Arial" w:cs="Arial" w:eastAsia="Arial" w:hAnsi="Arial"/>
          <w:b/>
          <w:bCs/>
          <w:color w:val="C00000"/>
          <w:sz w:val="20"/>
          <w:szCs w:val="20"/>
        </w:rPr>
        <w:t xml:space="preserve">Impatto in produzione: </w:t>
      </w:r>
      <w:r>
        <w:rPr>
          <w:rFonts w:ascii="Arial" w:cs="Arial" w:eastAsia="Arial" w:hAnsi="Arial"/>
          <w:sz w:val="20"/>
          <w:szCs w:val="20"/>
        </w:rPr>
        <w:t xml:space="preserve">ogni deadlock causa immediatamente un'eccezione ORMException anziche' ritentare l'operazione. Applicazioni con SQL Server sotto carico elevato sono le piu' esposte.</w:t>
      </w:r>
    </w:p>
    <w:p>
      <w:pPr>
        <w:spacing w:after="80" w:before="80"/>
      </w:pPr>
      <w:r>
        <w:rPr>
          <w:rFonts w:ascii="Arial" w:cs="Arial" w:eastAsia="Arial" w:hAnsi="Arial"/>
          <w:b/>
          <w:bCs/>
          <w:sz w:val="20"/>
          <w:szCs w:val="20"/>
        </w:rPr>
        <w:t xml:space="preserve">Breaking change: </w:t>
      </w:r>
      <w:r>
        <w:rPr>
          <w:rFonts w:ascii="Arial" w:cs="Arial" w:eastAsia="Arial" w:hAnsi="Arial"/>
          <w:color w:val="375623"/>
          <w:sz w:val="20"/>
          <w:szCs w:val="20"/>
        </w:rPr>
        <w:t xml:space="preserve">NESSUNO. La firma pubblica non cambia.</w:t>
      </w:r>
    </w:p>
    <w:p>
      <w:pPr>
        <w:spacing w:after="60" w:before="60"/>
      </w:pPr>
      <w:r>
        <w:t xml:space="preserve"/>
      </w:r>
    </w:p>
    <w:p>
      <w:pPr>
        <w:pStyle w:val="Heading2"/>
        <w:spacing w:after="80" w:before="280"/>
      </w:pPr>
      <w:r>
        <w:rPr>
          <w:rFonts w:ascii="Arial" w:cs="Arial" w:eastAsia="Arial" w:hAnsi="Arial"/>
          <w:b/>
          <w:bCs/>
          <w:color w:val="1F497D"/>
          <w:sz w:val="26"/>
          <w:szCs w:val="26"/>
        </w:rPr>
        <w:t xml:space="preserve">BUG-02 - SetBatchSize silenziosamente ignorato (CRITICO)</w:t>
      </w:r>
    </w:p>
    <w:p>
      <w:pPr>
        <w:spacing w:after="80" w:before="80"/>
      </w:pPr>
      <w:r>
        <w:rPr>
          <w:rFonts w:ascii="Arial" w:cs="Arial" w:eastAsia="Arial" w:hAnsi="Arial"/>
          <w:sz w:val="20"/>
          <w:szCs w:val="20"/>
        </w:rPr>
        <w:t xml:space="preserve">La proprieta' SetBatchSize esposta da IDbContext e DbContext non viene mai letta durante la configurazione di NHibernate in BSDataExtensions.ConfigureNHibernate(). Il valore configurato dall'utente viene ignorato, mentre i mapping interni usano il valore hardcoded Global.BATCH_SIZE = 25.</w:t>
      </w:r>
    </w:p>
    <w:p>
      <w:pPr>
        <w:spacing w:after="60" w:before="60"/>
      </w:pPr>
      <w:r>
        <w:t xml:space="preserve"/>
      </w:r>
    </w:p>
    <w:p>
      <w:pPr>
        <w:spacing w:after="80" w:before="80"/>
      </w:pPr>
      <w:r>
        <w:rPr>
          <w:rFonts w:ascii="Arial" w:cs="Arial" w:eastAsia="Arial" w:hAnsi="Arial"/>
          <w:b/>
          <w:bCs/>
          <w:sz w:val="19"/>
          <w:szCs w:val="19"/>
        </w:rPr>
        <w:t xml:space="preserve">Correzione in BSDataExtensions.cs, metodo ConfigureNHibernate():</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Aggiungere prima del return configuration:</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configuration.SetProperty("adonet.batch_size",</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context.SetBatchSize.ToString());</w:t>
      </w:r>
    </w:p>
    <w:p>
      <w:pPr>
        <w:spacing w:after="60" w:before="60"/>
      </w:pPr>
      <w:r>
        <w:t xml:space="preserve"/>
      </w:r>
    </w:p>
    <w:p>
      <w:pPr>
        <w:spacing w:after="80" w:before="80"/>
      </w:pPr>
      <w:r>
        <w:rPr>
          <w:rFonts w:ascii="Arial" w:cs="Arial" w:eastAsia="Arial" w:hAnsi="Arial"/>
          <w:b/>
          <w:bCs/>
          <w:color w:val="E06000"/>
          <w:sz w:val="20"/>
          <w:szCs w:val="20"/>
        </w:rPr>
        <w:t xml:space="preserve">Impatto: </w:t>
      </w:r>
      <w:r>
        <w:rPr>
          <w:rFonts w:ascii="Arial" w:cs="Arial" w:eastAsia="Arial" w:hAnsi="Arial"/>
          <w:sz w:val="20"/>
          <w:szCs w:val="20"/>
        </w:rPr>
        <w:t xml:space="preserve">le performance di insert/update in batch non vengono ottimizzate secondo la configurazione dell'utente.</w:t>
      </w:r>
    </w:p>
    <w:p>
      <w:pPr>
        <w:spacing w:after="80" w:before="80"/>
      </w:pPr>
      <w:r>
        <w:rPr>
          <w:rFonts w:ascii="Arial" w:cs="Arial" w:eastAsia="Arial" w:hAnsi="Arial"/>
          <w:b/>
          <w:bCs/>
          <w:sz w:val="20"/>
          <w:szCs w:val="20"/>
        </w:rPr>
        <w:t xml:space="preserve">Breaking change: </w:t>
      </w:r>
      <w:r>
        <w:rPr>
          <w:rFonts w:ascii="Arial" w:cs="Arial" w:eastAsia="Arial" w:hAnsi="Arial"/>
          <w:color w:val="375623"/>
          <w:sz w:val="20"/>
          <w:szCs w:val="20"/>
        </w:rPr>
        <w:t xml:space="preserve">NESSUNO. Si attiva un'impostazione che era attesa ma mai applicata.</w:t>
      </w:r>
    </w:p>
    <w:p>
      <w:pPr>
        <w:spacing w:after="60" w:before="60"/>
      </w:pPr>
      <w:r>
        <w:t xml:space="preserve"/>
      </w:r>
    </w:p>
    <w:p>
      <w:pPr>
        <w:pStyle w:val="Heading2"/>
        <w:spacing w:after="80" w:before="280"/>
      </w:pPr>
      <w:r>
        <w:rPr>
          <w:rFonts w:ascii="Arial" w:cs="Arial" w:eastAsia="Arial" w:hAnsi="Arial"/>
          <w:b/>
          <w:bCs/>
          <w:color w:val="1F497D"/>
          <w:sz w:val="26"/>
          <w:szCs w:val="26"/>
        </w:rPr>
        <w:t xml:space="preserve">BUG-03 - UnitOfWork.Dispose() esegue commit implicito inatteso (ALTO)</w:t>
      </w:r>
    </w:p>
    <w:p>
      <w:pPr>
        <w:spacing w:after="80" w:before="80"/>
      </w:pPr>
      <w:r>
        <w:rPr>
          <w:rFonts w:ascii="Arial" w:cs="Arial" w:eastAsia="Arial" w:hAnsi="Arial"/>
          <w:sz w:val="20"/>
          <w:szCs w:val="20"/>
        </w:rPr>
        <w:t xml:space="preserve">Il metodo Dispose() e DisposeAsync() dell'UnitOfWork controllano se la transazione e' attiva e, in tal caso, chiamano TryCommitOrRollback(). Questo puo' causare il commit automatico di una transazione aperta ma non ancora confermata dal codice applicativo, nel momento in cui il container DI (ASP.NET Core) esegue il dispose dello scope a fine request.</w:t>
      </w:r>
    </w:p>
    <w:p>
      <w:pPr>
        <w:spacing w:after="60" w:before="60"/>
      </w:pPr>
      <w:r>
        <w:t xml:space="preserve"/>
      </w:r>
    </w:p>
    <w:p>
      <w:pPr>
        <w:spacing w:after="80" w:before="80"/>
      </w:pPr>
      <w:r>
        <w:rPr>
          <w:rFonts w:ascii="Arial" w:cs="Arial" w:eastAsia="Arial" w:hAnsi="Arial"/>
          <w:sz w:val="20"/>
          <w:szCs w:val="20"/>
        </w:rPr>
        <w:t xml:space="preserve">Scenario problematico: un controller apre una transazione con BeginTransaction(), esegue operazioni parziali, poi lancia un'eccezione gestita localmente e ritorna un errore HTTP. Il middleware NHibernateSessionMiddleware chiama DisposeAsync() che esegue il commit delle operazioni parziali anziche' il rollback.</w:t>
      </w:r>
    </w:p>
    <w:p>
      <w:pPr>
        <w:spacing w:after="60" w:before="60"/>
      </w:pPr>
      <w:r>
        <w:t xml:space="preserve"/>
      </w:r>
    </w:p>
    <w:p>
      <w:pPr>
        <w:spacing w:after="80" w:before="80"/>
      </w:pPr>
      <w:r>
        <w:rPr>
          <w:rFonts w:ascii="Arial" w:cs="Arial" w:eastAsia="Arial" w:hAnsi="Arial"/>
          <w:b/>
          <w:bCs/>
          <w:sz w:val="19"/>
          <w:szCs w:val="19"/>
        </w:rPr>
        <w:t xml:space="preserve">Correzione proposta:</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In Dispose() e DisposeAsync() - sostituire:</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if (_transaction?.IsActive == true)</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TryCommitOrRollback();  // PERICOLOSO: potrebbe committare</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Con:</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if (_transaction?.IsActive == true)</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_transaction.Rollback(); // Safe: non committare senza consenso</w:t>
      </w:r>
    </w:p>
    <w:p>
      <w:pPr>
        <w:spacing w:after="60" w:before="60"/>
      </w:pPr>
      <w:r>
        <w:t xml:space="preserve"/>
      </w:r>
    </w:p>
    <w:p>
      <w:pPr>
        <w:spacing w:after="80" w:before="80"/>
      </w:pPr>
      <w:r>
        <w:rPr>
          <w:rFonts w:ascii="Arial" w:cs="Arial" w:eastAsia="Arial" w:hAnsi="Arial"/>
          <w:b/>
          <w:bCs/>
          <w:color w:val="E06000"/>
          <w:sz w:val="20"/>
          <w:szCs w:val="20"/>
        </w:rPr>
        <w:t xml:space="preserve">Attenzione: </w:t>
      </w:r>
      <w:r>
        <w:rPr>
          <w:rFonts w:ascii="Arial" w:cs="Arial" w:eastAsia="Arial" w:hAnsi="Arial"/>
          <w:sz w:val="20"/>
          <w:szCs w:val="20"/>
        </w:rPr>
        <w:t xml:space="preserve">valutare se applicazioni esistenti dipendono involontariamente dal commit implicito prima di applicare questa correzione.</w:t>
      </w:r>
    </w:p>
    <w:p>
      <w:pPr>
        <w:spacing w:after="60" w:before="60"/>
      </w:pPr>
      <w:r>
        <w:t xml:space="preserve"/>
      </w:r>
    </w:p>
    <w:p>
      <w:pPr>
        <w:pStyle w:val="Heading2"/>
        <w:spacing w:after="80" w:before="280"/>
      </w:pPr>
      <w:r>
        <w:rPr>
          <w:rFonts w:ascii="Arial" w:cs="Arial" w:eastAsia="Arial" w:hAnsi="Arial"/>
          <w:b/>
          <w:bCs/>
          <w:color w:val="1F497D"/>
          <w:sz w:val="26"/>
          <w:szCs w:val="26"/>
        </w:rPr>
        <w:t xml:space="preserve">BUG-04 - RunInTransactionAsync(Action) inconsistente (ALTO)</w:t>
      </w:r>
    </w:p>
    <w:p>
      <w:pPr>
        <w:spacing w:after="80" w:before="80"/>
      </w:pPr>
      <w:r>
        <w:rPr>
          <w:rFonts w:ascii="Arial" w:cs="Arial" w:eastAsia="Arial" w:hAnsi="Arial"/>
          <w:sz w:val="20"/>
          <w:szCs w:val="20"/>
        </w:rPr>
        <w:t xml:space="preserve">Il metodo RunInTransactionAsync(IUnitOfWork, Action, int retry) accetta una Action sincrona anziché una Func&lt;Task&gt;. Questo crea due problemi: primo, eventuali operazioni async nell'Action vengono eseguite in modo fire-and-forget; secondo, il comportamento della gestione degli errori e' diverso rispetto all'overload RunInTransaction&lt;T&gt;(Func&lt;T&gt;), creando asimmetria.</w:t>
      </w:r>
    </w:p>
    <w:p>
      <w:pPr>
        <w:spacing w:after="80" w:before="80"/>
      </w:pPr>
      <w:r>
        <w:rPr>
          <w:rFonts w:ascii="Arial" w:cs="Arial" w:eastAsia="Arial" w:hAnsi="Arial"/>
          <w:sz w:val="20"/>
          <w:szCs w:val="20"/>
        </w:rPr>
        <w:t xml:space="preserve">L'overload sincrono RunInTransaction(Action) non distingue SqlException da ADOException a differenza di RunInTransaction&lt;T&gt;. Questa inconsistenza puo' portare a comportamenti e log di errore diversi a seconda dell'overload chiamato.</w:t>
      </w:r>
    </w:p>
    <w:p>
      <w:pPr>
        <w:spacing w:after="60" w:before="60"/>
      </w:pPr>
      <w:r>
        <w:t xml:space="preserve"/>
      </w:r>
    </w:p>
    <w:p>
      <w:pPr>
        <w:pStyle w:val="Heading2"/>
        <w:spacing w:after="80" w:before="280"/>
      </w:pPr>
      <w:r>
        <w:rPr>
          <w:rFonts w:ascii="Arial" w:cs="Arial" w:eastAsia="Arial" w:hAnsi="Arial"/>
          <w:b/>
          <w:bCs/>
          <w:color w:val="1F497D"/>
          <w:sz w:val="26"/>
          <w:szCs w:val="26"/>
        </w:rPr>
        <w:t xml:space="preserve">BUG-05 - MySQL senza driver NHibernate esplicito (MEDIO)</w:t>
      </w:r>
    </w:p>
    <w:p>
      <w:pPr>
        <w:spacing w:after="80" w:before="80"/>
      </w:pPr>
      <w:r>
        <w:rPr>
          <w:rFonts w:ascii="Arial" w:cs="Arial" w:eastAsia="Arial" w:hAnsi="Arial"/>
          <w:sz w:val="20"/>
          <w:szCs w:val="20"/>
        </w:rPr>
        <w:t xml:space="preserve">I case DbType.MySQL e DbType.MySQL57 configurano solo il dialetto ma non il driver NHibernate, a differenza dei case SQLite e MsSql2012 che specificano esplicitamente integration.Driver&lt;&gt;().</w:t>
      </w:r>
    </w:p>
    <w:p>
      <w:pPr>
        <w:spacing w:after="60" w:before="60"/>
      </w:pPr>
      <w:r>
        <w:t xml:space="preserve"/>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Attuale (incompleto per MySQL):</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case DbType.MySQL:</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integration.Dialect&lt;MySQL55Dialect&gt;();</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break;  // manca: integration.Driver&lt;MySqlDataDriver&gt;()</w:t>
      </w:r>
    </w:p>
    <w:p>
      <w:pPr>
        <w:spacing w:after="60" w:before="60"/>
      </w:pPr>
      <w:r>
        <w:t xml:space="preserve"/>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Corretto:</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case DbType.MySQL:</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integration.Driver&lt;MySqlDataDriver&gt;();</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integration.Dialect&lt;MySQL55Dialect&gt;();</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break;</w:t>
      </w:r>
    </w:p>
    <w:p>
      <w:pPr>
        <w:spacing w:after="60" w:before="60"/>
      </w:pPr>
      <w:r>
        <w:t xml:space="preserve"/>
      </w:r>
    </w:p>
    <w:p>
      <w:pPr>
        <w:pageBreakBefore/>
      </w:pPr>
      <w:r>
        <w:t xml:space="preserve"/>
      </w:r>
    </w:p>
    <w:p>
      <w:pPr>
        <w:pStyle w:val="Heading1"/>
        <w:spacing w:after="120" w:before="360"/>
      </w:pPr>
      <w:r>
        <w:rPr>
          <w:rFonts w:ascii="Arial" w:cs="Arial" w:eastAsia="Arial" w:hAnsi="Arial"/>
          <w:b/>
          <w:bCs/>
          <w:color w:val="1F497D"/>
          <w:sz w:val="32"/>
          <w:szCs w:val="32"/>
        </w:rPr>
        <w:t xml:space="preserve">2. Qualita' del Codice</w:t>
      </w:r>
    </w:p>
    <w:p>
      <w:pPr>
        <w:pStyle w:val="Heading2"/>
        <w:spacing w:after="80" w:before="280"/>
      </w:pPr>
      <w:r>
        <w:rPr>
          <w:rFonts w:ascii="Arial" w:cs="Arial" w:eastAsia="Arial" w:hAnsi="Arial"/>
          <w:b/>
          <w:bCs/>
          <w:color w:val="1F497D"/>
          <w:sz w:val="26"/>
          <w:szCs w:val="26"/>
        </w:rPr>
        <w:t xml:space="preserve">QA-01 - ExponentialBackOffPolicy usa Thread.Sleep sincrono (ALTO)</w:t>
      </w:r>
    </w:p>
    <w:p>
      <w:pPr>
        <w:spacing w:after="80" w:before="80"/>
      </w:pPr>
      <w:r>
        <w:rPr>
          <w:rFonts w:ascii="Arial" w:cs="Arial" w:eastAsia="Arial" w:hAnsi="Arial"/>
          <w:sz w:val="20"/>
          <w:szCs w:val="20"/>
        </w:rPr>
        <w:t xml:space="preserve">Il metodo PerformRetry() usa Thread.Sleep(), che blocca il thread chiamante. Poiche' viene invocato all'interno di metodi async (RunInTransactionAsync), questo annulla i benefici dell'approccio asincrono e riduce la scalabilita' del servizio sotto carico.</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Attuale (blocca il thread per ogni retry):</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Thread.Sleep(currentWait);</w:t>
      </w:r>
    </w:p>
    <w:p>
      <w:pPr>
        <w:spacing w:after="60" w:before="60"/>
      </w:pPr>
      <w:r>
        <w:t xml:space="preserve"/>
      </w:r>
    </w:p>
    <w:p>
      <w:pPr>
        <w:spacing w:after="80" w:before="80"/>
      </w:pPr>
      <w:r>
        <w:rPr>
          <w:rFonts w:ascii="Arial" w:cs="Arial" w:eastAsia="Arial" w:hAnsi="Arial"/>
          <w:sz w:val="20"/>
          <w:szCs w:val="20"/>
        </w:rPr>
        <w:t xml:space="preserve">La correzione richiede di rendere IRetryPolicy.PerformRetry async (interfaccia interna, nessun impatto pubblico) e di sostituire Thread.Sleep con await Task.Delay(currentWait) in ExponentialBackOffPolicy.</w:t>
      </w:r>
    </w:p>
    <w:p>
      <w:pPr>
        <w:spacing w:after="60" w:before="60"/>
      </w:pPr>
      <w:r>
        <w:t xml:space="preserve"/>
      </w:r>
    </w:p>
    <w:p>
      <w:pPr>
        <w:pStyle w:val="Heading2"/>
        <w:spacing w:after="80" w:before="280"/>
      </w:pPr>
      <w:r>
        <w:rPr>
          <w:rFonts w:ascii="Arial" w:cs="Arial" w:eastAsia="Arial" w:hAnsi="Arial"/>
          <w:b/>
          <w:bCs/>
          <w:color w:val="1F497D"/>
          <w:sz w:val="26"/>
          <w:szCs w:val="26"/>
        </w:rPr>
        <w:t xml:space="preserve">QA-02 - Dipendenze NuGet ridondanti/obsolete (MEDIO)</w:t>
      </w:r>
    </w:p>
    <w:p>
      <w:pPr>
        <w:spacing w:after="80" w:before="80"/>
      </w:pPr>
      <w:r>
        <w:rPr>
          <w:rFonts w:ascii="Arial" w:cs="Arial" w:eastAsia="Arial" w:hAnsi="Arial"/>
          <w:sz w:val="20"/>
          <w:szCs w:val="20"/>
        </w:rPr>
        <w:t xml:space="preserve">Il file bs.Data.csproj include pacchetti NuGet che in net8.0 sono gia' forniti dall'SDK. I riferimenti espliciti a versioni obsolete (2016-2018) possono causare conflitti di assembly.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3926"/>
      </w:tblGrid>
      <w:tr>
        <w:trPr>
          <w:tblHeader/>
        </w:trPr>
        <w:tc>
          <w:tcPr>
            <w:tcW w:type="dxa" w:w="36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Pacchetto</w:t>
            </w:r>
          </w:p>
        </w:tc>
        <w:tc>
          <w:tcPr>
            <w:tcW w:type="dxa" w:w="15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Versione usata</w:t>
            </w:r>
          </w:p>
        </w:tc>
        <w:tc>
          <w:tcPr>
            <w:tcW w:type="dxa" w:w="3926"/>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Raccomandazione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7"/>
                <w:szCs w:val="17"/>
              </w:rPr>
              <w:t xml:space="preserve">System.Net.Http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C00000"/>
                <w:sz w:val="17"/>
                <w:szCs w:val="17"/>
              </w:rPr>
              <w:t xml:space="preserve">4.3.4 (2016)</w:t>
            </w:r>
          </w:p>
        </w:tc>
        <w:tc>
          <w:tcPr>
            <w:tcW w:type="dxa" w:w="39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Rimuovere: incluso in net8.0 SDK. Import inutilizzato in BSDataExtensions.cs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7"/>
                <w:szCs w:val="17"/>
              </w:rPr>
              <w:t xml:space="preserve">System.Text.RegularExpressions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0000"/>
                <w:sz w:val="17"/>
                <w:szCs w:val="17"/>
              </w:rPr>
              <w:t xml:space="preserve">4.3.1 (2016)</w:t>
            </w:r>
          </w:p>
        </w:tc>
        <w:tc>
          <w:tcPr>
            <w:tcW w:type="dxa" w:w="3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Rimuovere: incluso in net8.0 SDK</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7"/>
                <w:szCs w:val="17"/>
              </w:rPr>
              <w:t xml:space="preserve">Microsoft.AspNetCore.Http.Abstractions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C00000"/>
                <w:sz w:val="17"/>
                <w:szCs w:val="17"/>
              </w:rPr>
              <w:t xml:space="preserve">2.2.0 (2018)</w:t>
            </w:r>
          </w:p>
        </w:tc>
        <w:tc>
          <w:tcPr>
            <w:tcW w:type="dxa" w:w="39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Sostituire con FrameworkReference Microsoft.AspNetCore.App</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7"/>
                <w:szCs w:val="17"/>
              </w:rPr>
              <w:t xml:space="preserve">Npgsql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7"/>
                <w:szCs w:val="17"/>
              </w:rPr>
              <w:t xml:space="preserve">9.0.3</w:t>
            </w:r>
          </w:p>
        </w:tc>
        <w:tc>
          <w:tcPr>
            <w:tcW w:type="dxa" w:w="3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Verificare se necessario come dipendenza diretta o gia' gestito da NHibernate</w:t>
            </w:r>
          </w:p>
        </w:tc>
      </w:tr>
    </w:tbl>
    <w:p>
      <w:pPr>
        <w:spacing w:after="60" w:before="60"/>
      </w:pPr>
      <w:r>
        <w:t xml:space="preserve"/>
      </w:r>
    </w:p>
    <w:p>
      <w:pPr>
        <w:pStyle w:val="Heading2"/>
        <w:spacing w:after="80" w:before="280"/>
      </w:pPr>
      <w:r>
        <w:rPr>
          <w:rFonts w:ascii="Arial" w:cs="Arial" w:eastAsia="Arial" w:hAnsi="Arial"/>
          <w:b/>
          <w:bCs/>
          <w:color w:val="1F497D"/>
          <w:sz w:val="26"/>
          <w:szCs w:val="26"/>
        </w:rPr>
        <w:t xml:space="preserve">QA-03 - Interfacce marker vuote (MEDIO)</w:t>
      </w:r>
    </w:p>
    <w:p>
      <w:pPr>
        <w:spacing w:after="80" w:before="80"/>
      </w:pPr>
      <w:r>
        <w:rPr>
          <w:rFonts w:ascii="Arial" w:cs="Arial" w:eastAsia="Arial" w:hAnsi="Arial"/>
          <w:sz w:val="20"/>
          <w:szCs w:val="20"/>
        </w:rPr>
        <w:t xml:space="preserve">IPersistentEntity e IRepository non definiscono alcun membro. IPersistentEntity viene usata solo come constraint generics: considerare di aggiungere almeno Id per avere un contratto verificabile. IRepository e' completamente non usata nel ciclo DI.</w:t>
      </w:r>
    </w:p>
    <w:p>
      <w:pPr>
        <w:spacing w:after="60" w:before="60"/>
      </w:pPr>
      <w:r>
        <w:t xml:space="preserve"/>
      </w:r>
    </w:p>
    <w:p>
      <w:pPr>
        <w:pStyle w:val="Heading2"/>
        <w:spacing w:after="80" w:before="280"/>
      </w:pPr>
      <w:r>
        <w:rPr>
          <w:rFonts w:ascii="Arial" w:cs="Arial" w:eastAsia="Arial" w:hAnsi="Arial"/>
          <w:b/>
          <w:bCs/>
          <w:color w:val="1F497D"/>
          <w:sz w:val="26"/>
          <w:szCs w:val="26"/>
        </w:rPr>
        <w:t xml:space="preserve">QA-04 - Dead code e codice commentato (BASSO)</w:t>
      </w:r>
    </w:p>
    <w:p>
      <w:pPr>
        <w:pStyle w:val="ListParagraph"/>
        <w:numPr>
          <w:ilvl w:val="0"/>
          <w:numId w:val="2"/>
        </w:numPr>
        <w:spacing w:after="40" w:before="40"/>
      </w:pPr>
      <w:r>
        <w:rPr>
          <w:rFonts w:ascii="Arial" w:cs="Arial" w:eastAsia="Arial" w:hAnsi="Arial"/>
          <w:sz w:val="20"/>
          <w:szCs w:val="20"/>
        </w:rPr>
        <w:t xml:space="preserve">UnitOfWorkExtensions.cs: uow.Session.Reconnect() e uow.Session.Disconnect() commentati indicano refactoring incompleto</w:t>
      </w:r>
    </w:p>
    <w:p>
      <w:pPr>
        <w:pStyle w:val="ListParagraph"/>
        <w:numPr>
          <w:ilvl w:val="0"/>
          <w:numId w:val="2"/>
        </w:numPr>
        <w:spacing w:after="40" w:before="40"/>
      </w:pPr>
      <w:r>
        <w:rPr>
          <w:rFonts w:ascii="Arial" w:cs="Arial" w:eastAsia="Arial" w:hAnsi="Arial"/>
          <w:sz w:val="20"/>
          <w:szCs w:val="20"/>
        </w:rPr>
        <w:t xml:space="preserve">BsClassCustomizer.cs: metodo SetManyToOne commentato nel blocco finale</w:t>
      </w:r>
    </w:p>
    <w:p>
      <w:pPr>
        <w:pStyle w:val="ListParagraph"/>
        <w:numPr>
          <w:ilvl w:val="0"/>
          <w:numId w:val="2"/>
        </w:numPr>
        <w:spacing w:after="40" w:before="40"/>
      </w:pPr>
      <w:r>
        <w:rPr>
          <w:rFonts w:ascii="Arial" w:cs="Arial" w:eastAsia="Arial" w:hAnsi="Arial"/>
          <w:sz w:val="20"/>
          <w:szCs w:val="20"/>
        </w:rPr>
        <w:t xml:space="preserve">Global.BATCH_SIZE = 25 non allineato con DbContext.SetBatchSize default = 20</w:t>
      </w:r>
    </w:p>
    <w:p>
      <w:pPr>
        <w:spacing w:after="60" w:before="60"/>
      </w:pPr>
      <w:r>
        <w:t xml:space="preserve"/>
      </w:r>
    </w:p>
    <w:p>
      <w:pPr>
        <w:pageBreakBefore/>
      </w:pPr>
      <w:r>
        <w:t xml:space="preserve"/>
      </w:r>
    </w:p>
    <w:p>
      <w:pPr>
        <w:pStyle w:val="Heading1"/>
        <w:spacing w:after="120" w:before="360"/>
      </w:pPr>
      <w:r>
        <w:rPr>
          <w:rFonts w:ascii="Arial" w:cs="Arial" w:eastAsia="Arial" w:hAnsi="Arial"/>
          <w:b/>
          <w:bCs/>
          <w:color w:val="1F497D"/>
          <w:sz w:val="32"/>
          <w:szCs w:val="32"/>
        </w:rPr>
        <w:t xml:space="preserve">3. Test Suite</w:t>
      </w:r>
    </w:p>
    <w:p>
      <w:pPr>
        <w:pStyle w:val="Heading2"/>
        <w:spacing w:after="80" w:before="280"/>
      </w:pPr>
      <w:r>
        <w:rPr>
          <w:rFonts w:ascii="Arial" w:cs="Arial" w:eastAsia="Arial" w:hAnsi="Arial"/>
          <w:b/>
          <w:bCs/>
          <w:color w:val="1F497D"/>
          <w:sz w:val="26"/>
          <w:szCs w:val="26"/>
        </w:rPr>
        <w:t xml:space="preserve">TEST-01 - Fire-and-forget con async lambda in ForEach (ALTO)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6000" w:sz="6"/>
              <w:left w:val="single" w:color="E06000" w:sz="24"/>
              <w:bottom w:val="single" w:color="E06000" w:sz="6"/>
              <w:right w:val="single" w:color="E06000" w:sz="6"/>
            </w:tcBorders>
            <w:shd w:fill="FFF2CC" w:val="clear"/>
            <w:tcMar>
              <w:top w:type="dxa" w:w="100"/>
              <w:left w:type="dxa" w:w="200"/>
              <w:bottom w:type="dxa" w:w="100"/>
              <w:right w:type="dxa" w:w="200"/>
            </w:tcMar>
          </w:tcPr>
          <w:p>
            <w:r>
              <w:rPr>
                <w:rFonts w:ascii="Arial" w:cs="Arial" w:eastAsia="Arial" w:hAnsi="Arial"/>
                <w:sz w:val="19"/>
                <w:szCs w:val="19"/>
              </w:rPr>
              <w:t xml:space="preserve">In PostgresTests.cs e SqlServerTests.cs, il pattern rooms.ForEach(async a =&gt; await ...) crea Task non awaited. Le eccezioni vengono silenziate e il test puo' passare anche se le operazioni non sono andate a buon fine.</w:t>
            </w:r>
          </w:p>
        </w:tc>
      </w:tr>
    </w:tbl>
    <w:p>
      <w:pPr>
        <w:spacing w:after="60" w:before="60"/>
      </w:pPr>
      <w:r>
        <w:t xml:space="preserve"/>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SBAGLIATO - fire and forget (eccezioni perse):</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rooms.ForEach(async a =&gt; await _repo.CreateRoomAsync(a));</w:t>
      </w:r>
    </w:p>
    <w:p>
      <w:pPr>
        <w:spacing w:after="60" w:before="60"/>
      </w:pPr>
      <w:r>
        <w:t xml:space="preserve"/>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CORRETTO - await esplicito:</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foreach (var room in rooms)</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await _repo.CreateRoomAsync(room);</w:t>
      </w:r>
    </w:p>
    <w:p>
      <w:pPr>
        <w:spacing w:after="60" w:before="60"/>
      </w:pPr>
      <w:r>
        <w:t xml:space="preserve"/>
      </w:r>
    </w:p>
    <w:p>
      <w:pPr>
        <w:pStyle w:val="Heading2"/>
        <w:spacing w:after="80" w:before="280"/>
      </w:pPr>
      <w:r>
        <w:rPr>
          <w:rFonts w:ascii="Arial" w:cs="Arial" w:eastAsia="Arial" w:hAnsi="Arial"/>
          <w:b/>
          <w:bCs/>
          <w:color w:val="1F497D"/>
          <w:sz w:val="26"/>
          <w:szCs w:val="26"/>
        </w:rPr>
        <w:t xml:space="preserve">TEST-02 - Credenziali hardcoded nel sorgente (MEDIO)</w:t>
      </w:r>
    </w:p>
    <w:p>
      <w:pPr>
        <w:spacing w:after="80" w:before="80"/>
      </w:pPr>
      <w:r>
        <w:rPr>
          <w:rFonts w:ascii="Arial" w:cs="Arial" w:eastAsia="Arial" w:hAnsi="Arial"/>
          <w:sz w:val="20"/>
          <w:szCs w:val="20"/>
        </w:rPr>
        <w:t xml:space="preserve">Il file Helpers.cs contiene connection string con IP di server, username e password in chiaro nel codice sorgente. In un repository condiviso o pubblico questo espone credenziali reali.</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Helpers.cs - da rimuovere dal sorgente:</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ConnectionString = "database=OrmTest; server=192.168.254.13;</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user=sa; password=Password01; ...",</w:t>
      </w:r>
    </w:p>
    <w:p>
      <w:pPr>
        <w:spacing w:after="60" w:before="60"/>
      </w:pPr>
      <w:r>
        <w:t xml:space="preserve"/>
      </w:r>
    </w:p>
    <w:p>
      <w:pPr>
        <w:spacing w:after="80" w:before="80"/>
      </w:pPr>
      <w:r>
        <w:rPr>
          <w:rFonts w:ascii="Arial" w:cs="Arial" w:eastAsia="Arial" w:hAnsi="Arial"/>
          <w:sz w:val="20"/>
          <w:szCs w:val="20"/>
        </w:rPr>
        <w:t xml:space="preserve">Soluzione: leggere le connection string da variabili d'ambiente nel costruttore del Fixture, ed escludere il file di configurazione da git.</w:t>
      </w:r>
    </w:p>
    <w:p>
      <w:pPr>
        <w:spacing w:after="60" w:before="60"/>
      </w:pPr>
      <w:r>
        <w:t xml:space="preserve"/>
      </w:r>
    </w:p>
    <w:p>
      <w:pPr>
        <w:pStyle w:val="Heading2"/>
        <w:spacing w:after="80" w:before="280"/>
      </w:pPr>
      <w:r>
        <w:rPr>
          <w:rFonts w:ascii="Arial" w:cs="Arial" w:eastAsia="Arial" w:hAnsi="Arial"/>
          <w:b/>
          <w:bCs/>
          <w:color w:val="1F497D"/>
          <w:sz w:val="26"/>
          <w:szCs w:val="26"/>
        </w:rPr>
        <w:t xml:space="preserve">TEST-03 - Lifetime mismatch DI nei test (MEDIO)</w:t>
      </w:r>
    </w:p>
    <w:p>
      <w:pPr>
        <w:spacing w:after="80" w:before="80"/>
      </w:pPr>
      <w:r>
        <w:rPr>
          <w:rFonts w:ascii="Arial" w:cs="Arial" w:eastAsia="Arial" w:hAnsi="Arial"/>
          <w:sz w:val="20"/>
          <w:szCs w:val="20"/>
        </w:rPr>
        <w:t xml:space="preserve">Le fixture registrano BsDataRepository come Singleton ma IUnitOfWork e' registrato come Scoped. Risolvere IUnitOfWork dal ServiceProvider root (senza scope) viola il contratto DI e puo' causare comportamenti non deterministici tra i test.</w:t>
      </w:r>
    </w:p>
    <w:p>
      <w:pPr>
        <w:spacing w:after="60" w:before="60"/>
      </w:pPr>
      <w:r>
        <w:t xml:space="preserve"/>
      </w:r>
    </w:p>
    <w:p>
      <w:pPr>
        <w:pageBreakBefore/>
      </w:pPr>
      <w:r>
        <w:t xml:space="preserve"/>
      </w:r>
    </w:p>
    <w:p>
      <w:pPr>
        <w:pStyle w:val="Heading1"/>
        <w:spacing w:after="120" w:before="360"/>
      </w:pPr>
      <w:r>
        <w:rPr>
          <w:rFonts w:ascii="Arial" w:cs="Arial" w:eastAsia="Arial" w:hAnsi="Arial"/>
          <w:b/>
          <w:bCs/>
          <w:color w:val="1F497D"/>
          <w:sz w:val="32"/>
          <w:szCs w:val="32"/>
        </w:rPr>
        <w:t xml:space="preserve">4. Documentazione</w:t>
      </w:r>
    </w:p>
    <w:p>
      <w:pPr>
        <w:pStyle w:val="Heading2"/>
        <w:spacing w:after="80" w:before="280"/>
      </w:pPr>
      <w:r>
        <w:rPr>
          <w:rFonts w:ascii="Arial" w:cs="Arial" w:eastAsia="Arial" w:hAnsi="Arial"/>
          <w:b/>
          <w:bCs/>
          <w:color w:val="1F497D"/>
          <w:sz w:val="26"/>
          <w:szCs w:val="26"/>
        </w:rPr>
        <w:t xml:space="preserve">DOC-01 - README non compatibile con API v5 (ALTO per l'adozione)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6"/>
              <w:left w:val="single" w:color="C00000" w:sz="24"/>
              <w:bottom w:val="single" w:color="C00000" w:sz="6"/>
              <w:right w:val="single" w:color="C00000" w:sz="6"/>
            </w:tcBorders>
            <w:shd w:fill="FFCCCC" w:val="clear"/>
            <w:tcMar>
              <w:top w:type="dxa" w:w="100"/>
              <w:left w:type="dxa" w:w="200"/>
              <w:bottom w:type="dxa" w:w="100"/>
              <w:right w:type="dxa" w:w="200"/>
            </w:tcMar>
          </w:tcPr>
          <w:p>
            <w:r>
              <w:rPr>
                <w:rFonts w:ascii="Arial" w:cs="Arial" w:eastAsia="Arial" w:hAnsi="Arial"/>
                <w:sz w:val="19"/>
                <w:szCs w:val="19"/>
              </w:rPr>
              <w:t xml:space="preserve">Il README mostra esempi di codice che NON compilano con la versione corrente (v5). Gli esempi usano la vecchia API v3 dove BeginTransaction() restituiva un ITransaction e Commit() riceveva il transaction come parametro.</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README attuale (v3 - non compila)</w:t>
            </w:r>
          </w:p>
        </w:tc>
        <w:tc>
          <w:tcPr>
            <w:tcW w:type="dxa" w:w="4526"/>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API corretta (v5)</w:t>
            </w:r>
          </w:p>
        </w:tc>
      </w:tr>
      <w:tr>
        <w:tc>
          <w:tcPr>
            <w:tcW w:type="dxa" w:w="4500"/>
            <w:tcBorders>
              <w:top w:val="single" w:color="CCCCCC" w:sz="1"/>
              <w:left w:val="single" w:color="CCCCCC" w:sz="1"/>
              <w:bottom w:val="single" w:color="CCCCCC" w:sz="1"/>
              <w:right w:val="single" w:color="CCCCCC" w:sz="1"/>
            </w:tcBorders>
            <w:shd w:fill="FFCCCC" w:val="clear"/>
            <w:tcMar>
              <w:top w:type="dxa" w:w="80"/>
              <w:left w:type="dxa" w:w="100"/>
              <w:bottom w:type="dxa" w:w="80"/>
              <w:right w:type="dxa" w:w="100"/>
            </w:tcMar>
          </w:tcPr>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Non compila con v5:</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var transaction = uOW.BeginTransaction()</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repo.Update(entity);</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uOW.Commit(transaction);</w:t>
            </w:r>
          </w:p>
        </w:tc>
        <w:tc>
          <w:tcPr>
            <w:tcW w:type="dxa" w:w="4526"/>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 API corrente v5:</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uOW.BeginTransaction();</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repo.Update(entity);</w:t>
            </w:r>
          </w:p>
          <w:p>
            <w:pPr>
              <w:pBdr>
                <w:left w:val="single" w:color="AAAAAA" w:sz="8"/>
              </w:pBdr>
              <w:shd w:fill="F0F0F0" w:val="clear"/>
              <w:spacing w:after="40" w:before="40"/>
              <w:ind w:left="360"/>
            </w:pPr>
            <w:r>
              <w:rPr>
                <w:rFonts w:ascii="Courier New" w:cs="Courier New" w:eastAsia="Courier New" w:hAnsi="Courier New"/>
                <w:color w:val="333333"/>
                <w:sz w:val="17"/>
                <w:szCs w:val="17"/>
              </w:rPr>
              <w:t xml:space="preserve">uOW.TryCommitOrRollback();</w:t>
            </w:r>
          </w:p>
        </w:tc>
      </w:tr>
    </w:tbl>
    <w:p>
      <w:pPr>
        <w:spacing w:after="60" w:before="60"/>
      </w:pPr>
      <w:r>
        <w:t xml:space="preserve"/>
      </w:r>
    </w:p>
    <w:p>
      <w:pPr>
        <w:spacing w:after="80" w:before="80"/>
      </w:pPr>
      <w:r>
        <w:rPr>
          <w:rFonts w:ascii="Arial" w:cs="Arial" w:eastAsia="Arial" w:hAnsi="Arial"/>
          <w:sz w:val="20"/>
          <w:szCs w:val="20"/>
        </w:rPr>
        <w:t xml:space="preserve">Il README manca anche di esempi per RunInTransaction/RunInTransactionAsync, che sono i pattern piu' moderni e sicuri per la gestione delle transazioni.</w:t>
      </w:r>
    </w:p>
    <w:p>
      <w:pPr>
        <w:spacing w:after="60" w:before="60"/>
      </w:pPr>
      <w:r>
        <w:t xml:space="preserve"/>
      </w:r>
    </w:p>
    <w:p>
      <w:pPr>
        <w:pStyle w:val="Heading2"/>
        <w:spacing w:after="80" w:before="280"/>
      </w:pPr>
      <w:r>
        <w:rPr>
          <w:rFonts w:ascii="Arial" w:cs="Arial" w:eastAsia="Arial" w:hAnsi="Arial"/>
          <w:b/>
          <w:bCs/>
          <w:color w:val="1F497D"/>
          <w:sz w:val="26"/>
          <w:szCs w:val="26"/>
        </w:rPr>
        <w:t xml:space="preserve">DOC-02 - SslMode=none nell'esempio MySQL (BASSO)</w:t>
      </w:r>
    </w:p>
    <w:p>
      <w:pPr>
        <w:spacing w:after="80" w:before="80"/>
      </w:pPr>
      <w:r>
        <w:rPr>
          <w:rFonts w:ascii="Arial" w:cs="Arial" w:eastAsia="Arial" w:hAnsi="Arial"/>
          <w:sz w:val="20"/>
          <w:szCs w:val="20"/>
        </w:rPr>
        <w:t xml:space="preserve">L'esempio di configurazione MySQL usa SslMode=none, che disabilita completamente la crittografia TLS. In ambienti enterprise questo e' inaccettabile. L'esempio dovrebbe usare almeno SslMode=Preferred o SslMode=Required.</w:t>
      </w:r>
    </w:p>
    <w:p>
      <w:pPr>
        <w:spacing w:after="60" w:before="60"/>
      </w:pPr>
      <w:r>
        <w:t xml:space="preserve"/>
      </w:r>
    </w:p>
    <w:p>
      <w:pPr>
        <w:pageBreakBefore/>
      </w:pPr>
      <w:r>
        <w:t xml:space="preserve"/>
      </w:r>
    </w:p>
    <w:p>
      <w:pPr>
        <w:pStyle w:val="Heading1"/>
        <w:spacing w:after="120" w:before="360"/>
      </w:pPr>
      <w:r>
        <w:rPr>
          <w:rFonts w:ascii="Arial" w:cs="Arial" w:eastAsia="Arial" w:hAnsi="Arial"/>
          <w:b/>
          <w:bCs/>
          <w:color w:val="1F497D"/>
          <w:sz w:val="32"/>
          <w:szCs w:val="32"/>
        </w:rPr>
        <w:t xml:space="preserve">5. Piano di Stabilizzazione</w:t>
      </w:r>
    </w:p>
    <w:p>
      <w:pPr>
        <w:spacing w:after="80" w:before="80"/>
      </w:pPr>
      <w:r>
        <w:rPr>
          <w:rFonts w:ascii="Arial" w:cs="Arial" w:eastAsia="Arial" w:hAnsi="Arial"/>
          <w:sz w:val="20"/>
          <w:szCs w:val="20"/>
        </w:rPr>
        <w:t xml:space="preserve">Il piano e' organizzato in 3 sprint da 1 settimana ciascuno. Tutte le attivita' rispettano il vincolo di non introdurre breaking change verso i consumer enterprise della libreria.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400"/>
        <w:gridCol w:w="2800"/>
        <w:gridCol w:w="1726"/>
        <w:gridCol w:w="800"/>
      </w:tblGrid>
      <w:tr>
        <w:trPr>
          <w:tblHeader/>
        </w:trPr>
        <w:tc>
          <w:tcPr>
            <w:tcW w:type="dxa" w:w="8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15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Severita'</w:t>
            </w:r>
          </w:p>
        </w:tc>
        <w:tc>
          <w:tcPr>
            <w:tcW w:type="dxa" w:w="24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Titolo</w:t>
            </w:r>
          </w:p>
        </w:tc>
        <w:tc>
          <w:tcPr>
            <w:tcW w:type="dxa" w:w="28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Descrizione</w:t>
            </w:r>
          </w:p>
        </w:tc>
        <w:tc>
          <w:tcPr>
            <w:tcW w:type="dxa" w:w="1726"/>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File</w:t>
            </w:r>
          </w:p>
        </w:tc>
        <w:tc>
          <w:tcPr>
            <w:tcW w:type="dxa" w:w="8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Sprint</w:t>
            </w:r>
          </w:p>
        </w:tc>
      </w:tr>
      <w:tr>
        <w:tc>
          <w:tcPr>
            <w:tcW w:type="dxa" w:w="8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Courier New" w:cs="Courier New" w:eastAsia="Courier New" w:hAnsi="Courier New"/>
                <w:b/>
                <w:bCs/>
                <w:sz w:val="17"/>
                <w:szCs w:val="17"/>
              </w:rPr>
              <w:t xml:space="preserve">BUG-01</w:t>
            </w:r>
          </w:p>
        </w:tc>
        <w:tc>
          <w:tcPr>
            <w:tcW w:type="dxa" w:w="1500"/>
            <w:tcBorders>
              <w:top w:val="single" w:color="CCCCCC" w:sz="1"/>
              <w:left w:val="single" w:color="CCCCCC" w:sz="1"/>
              <w:bottom w:val="single" w:color="CCCCCC" w:sz="1"/>
              <w:right w:val="single" w:color="CCCCCC" w:sz="1"/>
            </w:tcBorders>
            <w:shd w:fill="A500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CRITICO</w:t>
            </w:r>
          </w:p>
        </w:tc>
        <w:tc>
          <w:tcPr>
            <w:tcW w:type="dxa" w:w="24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r>
              <w:rPr>
                <w:rFonts w:ascii="Arial" w:cs="Arial" w:eastAsia="Arial" w:hAnsi="Arial"/>
                <w:b/>
                <w:bCs/>
                <w:sz w:val="18"/>
                <w:szCs w:val="18"/>
              </w:rPr>
              <w:t xml:space="preserve">Deadlock retry sempre FALSE</w:t>
            </w:r>
          </w:p>
        </w:tc>
        <w:tc>
          <w:tcPr>
            <w:tcW w:type="dxa" w:w="28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r>
              <w:rPr>
                <w:rFonts w:ascii="Arial" w:cs="Arial" w:eastAsia="Arial" w:hAnsi="Arial"/>
                <w:sz w:val="17"/>
                <w:szCs w:val="17"/>
              </w:rPr>
              <w:t xml:space="preserve">ErrorCode vs Number (1205)</w:t>
            </w:r>
          </w:p>
        </w:tc>
        <w:tc>
          <w:tcPr>
            <w:tcW w:type="dxa" w:w="1726"/>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r>
              <w:rPr>
                <w:rFonts w:ascii="Courier New" w:cs="Courier New" w:eastAsia="Courier New" w:hAnsi="Courier New"/>
                <w:i/>
                <w:iCs/>
                <w:sz w:val="16"/>
                <w:szCs w:val="16"/>
              </w:rPr>
              <w:t xml:space="preserve">SqlServerExceptions.cs</w:t>
            </w:r>
          </w:p>
        </w:tc>
        <w:tc>
          <w:tcPr>
            <w:tcW w:type="dxa" w:w="8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vAlign w:val="center"/>
          </w:tcPr>
          <w:p>
            <w:pPr>
              <w:jc w:val="center"/>
            </w:pPr>
            <w:r>
              <w:rPr>
                <w:rFonts w:ascii="Arial" w:cs="Arial" w:eastAsia="Arial" w:hAnsi="Arial"/>
                <w:b/>
                <w:bCs/>
                <w:color w:val="1F497D"/>
                <w:sz w:val="18"/>
                <w:szCs w:val="18"/>
              </w:rPr>
              <w:t xml:space="preserve">S1</w:t>
            </w:r>
          </w:p>
        </w:tc>
      </w:tr>
      <w:tr>
        <w:tc>
          <w:tcPr>
            <w:tcW w:type="dxa" w:w="8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Courier New" w:cs="Courier New" w:eastAsia="Courier New" w:hAnsi="Courier New"/>
                <w:b/>
                <w:bCs/>
                <w:sz w:val="17"/>
                <w:szCs w:val="17"/>
              </w:rPr>
              <w:t xml:space="preserve">BUG-02</w:t>
            </w:r>
          </w:p>
        </w:tc>
        <w:tc>
          <w:tcPr>
            <w:tcW w:type="dxa" w:w="1500"/>
            <w:tcBorders>
              <w:top w:val="single" w:color="CCCCCC" w:sz="1"/>
              <w:left w:val="single" w:color="CCCCCC" w:sz="1"/>
              <w:bottom w:val="single" w:color="CCCCCC" w:sz="1"/>
              <w:right w:val="single" w:color="CCCCCC" w:sz="1"/>
            </w:tcBorders>
            <w:shd w:fill="A500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CRITICO</w:t>
            </w:r>
          </w:p>
        </w:tc>
        <w:tc>
          <w:tcPr>
            <w:tcW w:type="dxa" w:w="24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r>
              <w:rPr>
                <w:rFonts w:ascii="Arial" w:cs="Arial" w:eastAsia="Arial" w:hAnsi="Arial"/>
                <w:b/>
                <w:bCs/>
                <w:sz w:val="18"/>
                <w:szCs w:val="18"/>
              </w:rPr>
              <w:t xml:space="preserve">SetBatchSize ignorato</w:t>
            </w:r>
          </w:p>
        </w:tc>
        <w:tc>
          <w:tcPr>
            <w:tcW w:type="dxa" w:w="28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r>
              <w:rPr>
                <w:rFonts w:ascii="Arial" w:cs="Arial" w:eastAsia="Arial" w:hAnsi="Arial"/>
                <w:sz w:val="17"/>
                <w:szCs w:val="17"/>
              </w:rPr>
              <w:t xml:space="preserve">Non applicato a NHibernate config</w:t>
            </w:r>
          </w:p>
        </w:tc>
        <w:tc>
          <w:tcPr>
            <w:tcW w:type="dxa" w:w="1726"/>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r>
              <w:rPr>
                <w:rFonts w:ascii="Courier New" w:cs="Courier New" w:eastAsia="Courier New" w:hAnsi="Courier New"/>
                <w:i/>
                <w:iCs/>
                <w:sz w:val="16"/>
                <w:szCs w:val="16"/>
              </w:rPr>
              <w:t xml:space="preserve">BSDataExtensions.cs</w:t>
            </w:r>
          </w:p>
        </w:tc>
        <w:tc>
          <w:tcPr>
            <w:tcW w:type="dxa" w:w="8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vAlign w:val="center"/>
          </w:tcPr>
          <w:p>
            <w:pPr>
              <w:jc w:val="center"/>
            </w:pPr>
            <w:r>
              <w:rPr>
                <w:rFonts w:ascii="Arial" w:cs="Arial" w:eastAsia="Arial" w:hAnsi="Arial"/>
                <w:b/>
                <w:bCs/>
                <w:color w:val="1F497D"/>
                <w:sz w:val="18"/>
                <w:szCs w:val="18"/>
              </w:rPr>
              <w:t xml:space="preserve">S1</w:t>
            </w:r>
          </w:p>
        </w:tc>
      </w:tr>
      <w:tr>
        <w:tc>
          <w:tcPr>
            <w:tcW w:type="dxa" w:w="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Courier New" w:cs="Courier New" w:eastAsia="Courier New" w:hAnsi="Courier New"/>
                <w:b/>
                <w:bCs/>
                <w:sz w:val="17"/>
                <w:szCs w:val="17"/>
              </w:rPr>
              <w:t xml:space="preserve">BUG-03</w:t>
            </w:r>
          </w:p>
        </w:tc>
        <w:tc>
          <w:tcPr>
            <w:tcW w:type="dxa" w:w="1500"/>
            <w:tcBorders>
              <w:top w:val="single" w:color="CCCCCC" w:sz="1"/>
              <w:left w:val="single" w:color="CCCCCC" w:sz="1"/>
              <w:bottom w:val="single" w:color="CCCCCC" w:sz="1"/>
              <w:right w:val="single" w:color="CCCCCC" w:sz="1"/>
            </w:tcBorders>
            <w:shd w:fill="E060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ALTO</w:t>
            </w:r>
          </w:p>
        </w:tc>
        <w:tc>
          <w:tcPr>
            <w:tcW w:type="dxa" w:w="24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b/>
                <w:bCs/>
                <w:sz w:val="18"/>
                <w:szCs w:val="18"/>
              </w:rPr>
              <w:t xml:space="preserve">Dispose commit implicito</w:t>
            </w:r>
          </w:p>
        </w:tc>
        <w:tc>
          <w:tcPr>
            <w:tcW w:type="dxa" w:w="2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sz w:val="17"/>
                <w:szCs w:val="17"/>
              </w:rPr>
              <w:t xml:space="preserve">TryCommitOrRollback in Dispose()</w:t>
            </w:r>
          </w:p>
        </w:tc>
        <w:tc>
          <w:tcPr>
            <w:tcW w:type="dxa" w:w="1726"/>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Courier New" w:cs="Courier New" w:eastAsia="Courier New" w:hAnsi="Courier New"/>
                <w:i/>
                <w:iCs/>
                <w:sz w:val="16"/>
                <w:szCs w:val="16"/>
              </w:rPr>
              <w:t xml:space="preserve">UnitOfWork.cs</w:t>
            </w:r>
          </w:p>
        </w:tc>
        <w:tc>
          <w:tcPr>
            <w:tcW w:type="dxa" w:w="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1F497D"/>
                <w:sz w:val="18"/>
                <w:szCs w:val="18"/>
              </w:rPr>
              <w:t xml:space="preserve">S1</w:t>
            </w:r>
          </w:p>
        </w:tc>
      </w:tr>
      <w:tr>
        <w:tc>
          <w:tcPr>
            <w:tcW w:type="dxa" w:w="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Courier New" w:cs="Courier New" w:eastAsia="Courier New" w:hAnsi="Courier New"/>
                <w:b/>
                <w:bCs/>
                <w:sz w:val="17"/>
                <w:szCs w:val="17"/>
              </w:rPr>
              <w:t xml:space="preserve">BUG-04</w:t>
            </w:r>
          </w:p>
        </w:tc>
        <w:tc>
          <w:tcPr>
            <w:tcW w:type="dxa" w:w="1500"/>
            <w:tcBorders>
              <w:top w:val="single" w:color="CCCCCC" w:sz="1"/>
              <w:left w:val="single" w:color="CCCCCC" w:sz="1"/>
              <w:bottom w:val="single" w:color="CCCCCC" w:sz="1"/>
              <w:right w:val="single" w:color="CCCCCC" w:sz="1"/>
            </w:tcBorders>
            <w:shd w:fill="E060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ALTO</w:t>
            </w:r>
          </w:p>
        </w:tc>
        <w:tc>
          <w:tcPr>
            <w:tcW w:type="dxa" w:w="24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b/>
                <w:bCs/>
                <w:sz w:val="18"/>
                <w:szCs w:val="18"/>
              </w:rPr>
              <w:t xml:space="preserve">RunInTransactionAsync inconsistente</w:t>
            </w:r>
          </w:p>
        </w:tc>
        <w:tc>
          <w:tcPr>
            <w:tcW w:type="dxa" w:w="2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sz w:val="17"/>
                <w:szCs w:val="17"/>
              </w:rPr>
              <w:t xml:space="preserve">Action vs Func&lt;Task&lt;T&gt;&gt; overload</w:t>
            </w:r>
          </w:p>
        </w:tc>
        <w:tc>
          <w:tcPr>
            <w:tcW w:type="dxa" w:w="1726"/>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Courier New" w:cs="Courier New" w:eastAsia="Courier New" w:hAnsi="Courier New"/>
                <w:i/>
                <w:iCs/>
                <w:sz w:val="16"/>
                <w:szCs w:val="16"/>
              </w:rPr>
              <w:t xml:space="preserve">UnitOfWorkExtensions.cs</w:t>
            </w:r>
          </w:p>
        </w:tc>
        <w:tc>
          <w:tcPr>
            <w:tcW w:type="dxa" w:w="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1F497D"/>
                <w:sz w:val="18"/>
                <w:szCs w:val="18"/>
              </w:rPr>
              <w:t xml:space="preserve">S1</w:t>
            </w:r>
          </w:p>
        </w:tc>
      </w:tr>
      <w:tr>
        <w:tc>
          <w:tcPr>
            <w:tcW w:type="dxa" w:w="8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Courier New" w:cs="Courier New" w:eastAsia="Courier New" w:hAnsi="Courier New"/>
                <w:b/>
                <w:bCs/>
                <w:sz w:val="17"/>
                <w:szCs w:val="17"/>
              </w:rPr>
              <w:t xml:space="preserve">BUG-05</w:t>
            </w:r>
          </w:p>
        </w:tc>
        <w:tc>
          <w:tcPr>
            <w:tcW w:type="dxa" w:w="1500"/>
            <w:tcBorders>
              <w:top w:val="single" w:color="CCCCCC" w:sz="1"/>
              <w:left w:val="single" w:color="CCCCCC" w:sz="1"/>
              <w:bottom w:val="single" w:color="CCCCCC" w:sz="1"/>
              <w:right w:val="single" w:color="CCCCCC" w:sz="1"/>
            </w:tcBorders>
            <w:shd w:fill="CC99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MEDIO</w:t>
            </w:r>
          </w:p>
        </w:tc>
        <w:tc>
          <w:tcPr>
            <w:tcW w:type="dxa" w:w="24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b/>
                <w:bCs/>
                <w:sz w:val="18"/>
                <w:szCs w:val="18"/>
              </w:rPr>
              <w:t xml:space="preserve">MySQL senza driver esplicito</w:t>
            </w:r>
          </w:p>
        </w:tc>
        <w:tc>
          <w:tcPr>
            <w:tcW w:type="dxa" w:w="28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sz w:val="17"/>
                <w:szCs w:val="17"/>
              </w:rPr>
              <w:t xml:space="preserve">Driver mancante per MySQL dialect</w:t>
            </w:r>
          </w:p>
        </w:tc>
        <w:tc>
          <w:tcPr>
            <w:tcW w:type="dxa" w:w="1726"/>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Courier New" w:cs="Courier New" w:eastAsia="Courier New" w:hAnsi="Courier New"/>
                <w:i/>
                <w:iCs/>
                <w:sz w:val="16"/>
                <w:szCs w:val="16"/>
              </w:rPr>
              <w:t xml:space="preserve">BSDataExtensions.cs</w:t>
            </w:r>
          </w:p>
        </w:tc>
        <w:tc>
          <w:tcPr>
            <w:tcW w:type="dxa" w:w="8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vAlign w:val="center"/>
          </w:tcPr>
          <w:p>
            <w:pPr>
              <w:jc w:val="center"/>
            </w:pPr>
            <w:r>
              <w:rPr>
                <w:rFonts w:ascii="Arial" w:cs="Arial" w:eastAsia="Arial" w:hAnsi="Arial"/>
                <w:b/>
                <w:bCs/>
                <w:color w:val="1F497D"/>
                <w:sz w:val="18"/>
                <w:szCs w:val="18"/>
              </w:rPr>
              <w:t xml:space="preserve">S1</w:t>
            </w:r>
          </w:p>
        </w:tc>
      </w:tr>
      <w:tr>
        <w:tc>
          <w:tcPr>
            <w:tcW w:type="dxa" w:w="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Courier New" w:cs="Courier New" w:eastAsia="Courier New" w:hAnsi="Courier New"/>
                <w:b/>
                <w:bCs/>
                <w:sz w:val="17"/>
                <w:szCs w:val="17"/>
              </w:rPr>
              <w:t xml:space="preserve">QA-01</w:t>
            </w:r>
          </w:p>
        </w:tc>
        <w:tc>
          <w:tcPr>
            <w:tcW w:type="dxa" w:w="1500"/>
            <w:tcBorders>
              <w:top w:val="single" w:color="CCCCCC" w:sz="1"/>
              <w:left w:val="single" w:color="CCCCCC" w:sz="1"/>
              <w:bottom w:val="single" w:color="CCCCCC" w:sz="1"/>
              <w:right w:val="single" w:color="CCCCCC" w:sz="1"/>
            </w:tcBorders>
            <w:shd w:fill="E060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ALTO</w:t>
            </w:r>
          </w:p>
        </w:tc>
        <w:tc>
          <w:tcPr>
            <w:tcW w:type="dxa" w:w="24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b/>
                <w:bCs/>
                <w:sz w:val="18"/>
                <w:szCs w:val="18"/>
              </w:rPr>
              <w:t xml:space="preserve">Thread.Sleep in context async</w:t>
            </w:r>
          </w:p>
        </w:tc>
        <w:tc>
          <w:tcPr>
            <w:tcW w:type="dxa" w:w="2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sz w:val="17"/>
                <w:szCs w:val="17"/>
              </w:rPr>
              <w:t xml:space="preserve">Blocca thread nel retry asincrono</w:t>
            </w:r>
          </w:p>
        </w:tc>
        <w:tc>
          <w:tcPr>
            <w:tcW w:type="dxa" w:w="1726"/>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Courier New" w:cs="Courier New" w:eastAsia="Courier New" w:hAnsi="Courier New"/>
                <w:i/>
                <w:iCs/>
                <w:sz w:val="16"/>
                <w:szCs w:val="16"/>
              </w:rPr>
              <w:t xml:space="preserve">ExponentialBackOff.cs</w:t>
            </w:r>
          </w:p>
        </w:tc>
        <w:tc>
          <w:tcPr>
            <w:tcW w:type="dxa" w:w="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1F497D"/>
                <w:sz w:val="18"/>
                <w:szCs w:val="18"/>
              </w:rPr>
              <w:t xml:space="preserve">S2</w:t>
            </w:r>
          </w:p>
        </w:tc>
      </w:tr>
      <w:tr>
        <w:tc>
          <w:tcPr>
            <w:tcW w:type="dxa" w:w="8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Courier New" w:cs="Courier New" w:eastAsia="Courier New" w:hAnsi="Courier New"/>
                <w:b/>
                <w:bCs/>
                <w:sz w:val="17"/>
                <w:szCs w:val="17"/>
              </w:rPr>
              <w:t xml:space="preserve">QA-02</w:t>
            </w:r>
          </w:p>
        </w:tc>
        <w:tc>
          <w:tcPr>
            <w:tcW w:type="dxa" w:w="1500"/>
            <w:tcBorders>
              <w:top w:val="single" w:color="CCCCCC" w:sz="1"/>
              <w:left w:val="single" w:color="CCCCCC" w:sz="1"/>
              <w:bottom w:val="single" w:color="CCCCCC" w:sz="1"/>
              <w:right w:val="single" w:color="CCCCCC" w:sz="1"/>
            </w:tcBorders>
            <w:shd w:fill="CC99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MEDIO</w:t>
            </w:r>
          </w:p>
        </w:tc>
        <w:tc>
          <w:tcPr>
            <w:tcW w:type="dxa" w:w="24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b/>
                <w:bCs/>
                <w:sz w:val="18"/>
                <w:szCs w:val="18"/>
              </w:rPr>
              <w:t xml:space="preserve">Pacchetti NuGet ridondanti</w:t>
            </w:r>
          </w:p>
        </w:tc>
        <w:tc>
          <w:tcPr>
            <w:tcW w:type="dxa" w:w="28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sz w:val="17"/>
                <w:szCs w:val="17"/>
              </w:rPr>
              <w:t xml:space="preserve">3 pacchetti obsoleti su net8.0</w:t>
            </w:r>
          </w:p>
        </w:tc>
        <w:tc>
          <w:tcPr>
            <w:tcW w:type="dxa" w:w="1726"/>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Courier New" w:cs="Courier New" w:eastAsia="Courier New" w:hAnsi="Courier New"/>
                <w:i/>
                <w:iCs/>
                <w:sz w:val="16"/>
                <w:szCs w:val="16"/>
              </w:rPr>
              <w:t xml:space="preserve">bs.Data.csproj</w:t>
            </w:r>
          </w:p>
        </w:tc>
        <w:tc>
          <w:tcPr>
            <w:tcW w:type="dxa" w:w="8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vAlign w:val="center"/>
          </w:tcPr>
          <w:p>
            <w:pPr>
              <w:jc w:val="center"/>
            </w:pPr>
            <w:r>
              <w:rPr>
                <w:rFonts w:ascii="Arial" w:cs="Arial" w:eastAsia="Arial" w:hAnsi="Arial"/>
                <w:b/>
                <w:bCs/>
                <w:color w:val="1F497D"/>
                <w:sz w:val="18"/>
                <w:szCs w:val="18"/>
              </w:rPr>
              <w:t xml:space="preserve">S2</w:t>
            </w:r>
          </w:p>
        </w:tc>
      </w:tr>
      <w:tr>
        <w:tc>
          <w:tcPr>
            <w:tcW w:type="dxa" w:w="8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Courier New" w:cs="Courier New" w:eastAsia="Courier New" w:hAnsi="Courier New"/>
                <w:b/>
                <w:bCs/>
                <w:sz w:val="17"/>
                <w:szCs w:val="17"/>
              </w:rPr>
              <w:t xml:space="preserve">QA-03</w:t>
            </w:r>
          </w:p>
        </w:tc>
        <w:tc>
          <w:tcPr>
            <w:tcW w:type="dxa" w:w="1500"/>
            <w:tcBorders>
              <w:top w:val="single" w:color="CCCCCC" w:sz="1"/>
              <w:left w:val="single" w:color="CCCCCC" w:sz="1"/>
              <w:bottom w:val="single" w:color="CCCCCC" w:sz="1"/>
              <w:right w:val="single" w:color="CCCCCC" w:sz="1"/>
            </w:tcBorders>
            <w:shd w:fill="CC99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MEDIO</w:t>
            </w:r>
          </w:p>
        </w:tc>
        <w:tc>
          <w:tcPr>
            <w:tcW w:type="dxa" w:w="24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b/>
                <w:bCs/>
                <w:sz w:val="18"/>
                <w:szCs w:val="18"/>
              </w:rPr>
              <w:t xml:space="preserve">Interfacce marker vuote</w:t>
            </w:r>
          </w:p>
        </w:tc>
        <w:tc>
          <w:tcPr>
            <w:tcW w:type="dxa" w:w="28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sz w:val="17"/>
                <w:szCs w:val="17"/>
              </w:rPr>
              <w:t xml:space="preserve">IPersistentEntity senza contratto</w:t>
            </w:r>
          </w:p>
        </w:tc>
        <w:tc>
          <w:tcPr>
            <w:tcW w:type="dxa" w:w="1726"/>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Courier New" w:cs="Courier New" w:eastAsia="Courier New" w:hAnsi="Courier New"/>
                <w:i/>
                <w:iCs/>
                <w:sz w:val="16"/>
                <w:szCs w:val="16"/>
              </w:rPr>
              <w:t xml:space="preserve">Interfaces/</w:t>
            </w:r>
          </w:p>
        </w:tc>
        <w:tc>
          <w:tcPr>
            <w:tcW w:type="dxa" w:w="8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vAlign w:val="center"/>
          </w:tcPr>
          <w:p>
            <w:pPr>
              <w:jc w:val="center"/>
            </w:pPr>
            <w:r>
              <w:rPr>
                <w:rFonts w:ascii="Arial" w:cs="Arial" w:eastAsia="Arial" w:hAnsi="Arial"/>
                <w:b/>
                <w:bCs/>
                <w:color w:val="1F497D"/>
                <w:sz w:val="18"/>
                <w:szCs w:val="18"/>
              </w:rPr>
              <w:t xml:space="preserve">S2</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sz w:val="17"/>
                <w:szCs w:val="17"/>
              </w:rPr>
              <w:t xml:space="preserve">QA-04</w:t>
            </w:r>
          </w:p>
        </w:tc>
        <w:tc>
          <w:tcPr>
            <w:tcW w:type="dxa" w:w="1500"/>
            <w:tcBorders>
              <w:top w:val="single" w:color="CCCCCC" w:sz="1"/>
              <w:left w:val="single" w:color="CCCCCC" w:sz="1"/>
              <w:bottom w:val="single" w:color="CCCCCC" w:sz="1"/>
              <w:right w:val="single" w:color="CCCCCC" w:sz="1"/>
            </w:tcBorders>
            <w:shd w:fill="888888"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BASSO</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8"/>
                <w:szCs w:val="18"/>
              </w:rPr>
              <w:t xml:space="preserve">Dead code e costanti</w:t>
            </w:r>
          </w:p>
        </w:tc>
        <w:tc>
          <w:tcPr>
            <w:tcW w:type="dxa" w:w="2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Cleanup commenti e Global.cs</w:t>
            </w:r>
          </w:p>
        </w:tc>
        <w:tc>
          <w:tcPr>
            <w:tcW w:type="dxa" w:w="1726"/>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i/>
                <w:iCs/>
                <w:sz w:val="16"/>
                <w:szCs w:val="16"/>
              </w:rPr>
              <w:t xml:space="preserve">Vari</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bCs/>
                <w:color w:val="1F497D"/>
                <w:sz w:val="18"/>
                <w:szCs w:val="18"/>
              </w:rPr>
              <w:t xml:space="preserve">S3</w:t>
            </w:r>
          </w:p>
        </w:tc>
      </w:tr>
      <w:tr>
        <w:tc>
          <w:tcPr>
            <w:tcW w:type="dxa" w:w="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Courier New" w:cs="Courier New" w:eastAsia="Courier New" w:hAnsi="Courier New"/>
                <w:b/>
                <w:bCs/>
                <w:sz w:val="17"/>
                <w:szCs w:val="17"/>
              </w:rPr>
              <w:t xml:space="preserve">TEST-01</w:t>
            </w:r>
          </w:p>
        </w:tc>
        <w:tc>
          <w:tcPr>
            <w:tcW w:type="dxa" w:w="1500"/>
            <w:tcBorders>
              <w:top w:val="single" w:color="CCCCCC" w:sz="1"/>
              <w:left w:val="single" w:color="CCCCCC" w:sz="1"/>
              <w:bottom w:val="single" w:color="CCCCCC" w:sz="1"/>
              <w:right w:val="single" w:color="CCCCCC" w:sz="1"/>
            </w:tcBorders>
            <w:shd w:fill="E060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ALTO</w:t>
            </w:r>
          </w:p>
        </w:tc>
        <w:tc>
          <w:tcPr>
            <w:tcW w:type="dxa" w:w="24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b/>
                <w:bCs/>
                <w:sz w:val="18"/>
                <w:szCs w:val="18"/>
              </w:rPr>
              <w:t xml:space="preserve">Fire-and-forget nei test</w:t>
            </w:r>
          </w:p>
        </w:tc>
        <w:tc>
          <w:tcPr>
            <w:tcW w:type="dxa" w:w="2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sz w:val="17"/>
                <w:szCs w:val="17"/>
              </w:rPr>
              <w:t xml:space="preserve">async lambda in List.ForEach</w:t>
            </w:r>
          </w:p>
        </w:tc>
        <w:tc>
          <w:tcPr>
            <w:tcW w:type="dxa" w:w="1726"/>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Courier New" w:cs="Courier New" w:eastAsia="Courier New" w:hAnsi="Courier New"/>
                <w:i/>
                <w:iCs/>
                <w:sz w:val="16"/>
                <w:szCs w:val="16"/>
              </w:rPr>
              <w:t xml:space="preserve">PostgresTests.cs</w:t>
            </w:r>
          </w:p>
        </w:tc>
        <w:tc>
          <w:tcPr>
            <w:tcW w:type="dxa" w:w="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1F497D"/>
                <w:sz w:val="18"/>
                <w:szCs w:val="18"/>
              </w:rPr>
              <w:t xml:space="preserve">S2</w:t>
            </w:r>
          </w:p>
        </w:tc>
      </w:tr>
      <w:tr>
        <w:tc>
          <w:tcPr>
            <w:tcW w:type="dxa" w:w="8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Courier New" w:cs="Courier New" w:eastAsia="Courier New" w:hAnsi="Courier New"/>
                <w:b/>
                <w:bCs/>
                <w:sz w:val="17"/>
                <w:szCs w:val="17"/>
              </w:rPr>
              <w:t xml:space="preserve">TEST-02</w:t>
            </w:r>
          </w:p>
        </w:tc>
        <w:tc>
          <w:tcPr>
            <w:tcW w:type="dxa" w:w="1500"/>
            <w:tcBorders>
              <w:top w:val="single" w:color="CCCCCC" w:sz="1"/>
              <w:left w:val="single" w:color="CCCCCC" w:sz="1"/>
              <w:bottom w:val="single" w:color="CCCCCC" w:sz="1"/>
              <w:right w:val="single" w:color="CCCCCC" w:sz="1"/>
            </w:tcBorders>
            <w:shd w:fill="CC99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MEDIO</w:t>
            </w:r>
          </w:p>
        </w:tc>
        <w:tc>
          <w:tcPr>
            <w:tcW w:type="dxa" w:w="24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b/>
                <w:bCs/>
                <w:sz w:val="18"/>
                <w:szCs w:val="18"/>
              </w:rPr>
              <w:t xml:space="preserve">Credenziali hardcoded</w:t>
            </w:r>
          </w:p>
        </w:tc>
        <w:tc>
          <w:tcPr>
            <w:tcW w:type="dxa" w:w="28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sz w:val="17"/>
                <w:szCs w:val="17"/>
              </w:rPr>
              <w:t xml:space="preserve">Password in chiaro nel sorgente</w:t>
            </w:r>
          </w:p>
        </w:tc>
        <w:tc>
          <w:tcPr>
            <w:tcW w:type="dxa" w:w="1726"/>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Courier New" w:cs="Courier New" w:eastAsia="Courier New" w:hAnsi="Courier New"/>
                <w:i/>
                <w:iCs/>
                <w:sz w:val="16"/>
                <w:szCs w:val="16"/>
              </w:rPr>
              <w:t xml:space="preserve">Helpers.cs</w:t>
            </w:r>
          </w:p>
        </w:tc>
        <w:tc>
          <w:tcPr>
            <w:tcW w:type="dxa" w:w="8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vAlign w:val="center"/>
          </w:tcPr>
          <w:p>
            <w:pPr>
              <w:jc w:val="center"/>
            </w:pPr>
            <w:r>
              <w:rPr>
                <w:rFonts w:ascii="Arial" w:cs="Arial" w:eastAsia="Arial" w:hAnsi="Arial"/>
                <w:b/>
                <w:bCs/>
                <w:color w:val="1F497D"/>
                <w:sz w:val="18"/>
                <w:szCs w:val="18"/>
              </w:rPr>
              <w:t xml:space="preserve">S2</w:t>
            </w:r>
          </w:p>
        </w:tc>
      </w:tr>
      <w:tr>
        <w:tc>
          <w:tcPr>
            <w:tcW w:type="dxa" w:w="8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Courier New" w:cs="Courier New" w:eastAsia="Courier New" w:hAnsi="Courier New"/>
                <w:b/>
                <w:bCs/>
                <w:sz w:val="17"/>
                <w:szCs w:val="17"/>
              </w:rPr>
              <w:t xml:space="preserve">TEST-03</w:t>
            </w:r>
          </w:p>
        </w:tc>
        <w:tc>
          <w:tcPr>
            <w:tcW w:type="dxa" w:w="1500"/>
            <w:tcBorders>
              <w:top w:val="single" w:color="CCCCCC" w:sz="1"/>
              <w:left w:val="single" w:color="CCCCCC" w:sz="1"/>
              <w:bottom w:val="single" w:color="CCCCCC" w:sz="1"/>
              <w:right w:val="single" w:color="CCCCCC" w:sz="1"/>
            </w:tcBorders>
            <w:shd w:fill="CC99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MEDIO</w:t>
            </w:r>
          </w:p>
        </w:tc>
        <w:tc>
          <w:tcPr>
            <w:tcW w:type="dxa" w:w="24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b/>
                <w:bCs/>
                <w:sz w:val="18"/>
                <w:szCs w:val="18"/>
              </w:rPr>
              <w:t xml:space="preserve">Lifetime mismatch DI nei test</w:t>
            </w:r>
          </w:p>
        </w:tc>
        <w:tc>
          <w:tcPr>
            <w:tcW w:type="dxa" w:w="28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Arial" w:cs="Arial" w:eastAsia="Arial" w:hAnsi="Arial"/>
                <w:sz w:val="17"/>
                <w:szCs w:val="17"/>
              </w:rPr>
              <w:t xml:space="preserve">Scoped vs Singleton in fixture</w:t>
            </w:r>
          </w:p>
        </w:tc>
        <w:tc>
          <w:tcPr>
            <w:tcW w:type="dxa" w:w="1726"/>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rFonts w:ascii="Courier New" w:cs="Courier New" w:eastAsia="Courier New" w:hAnsi="Courier New"/>
                <w:i/>
                <w:iCs/>
                <w:sz w:val="16"/>
                <w:szCs w:val="16"/>
              </w:rPr>
              <w:t xml:space="preserve">Helpers.cs</w:t>
            </w:r>
          </w:p>
        </w:tc>
        <w:tc>
          <w:tcPr>
            <w:tcW w:type="dxa" w:w="8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vAlign w:val="center"/>
          </w:tcPr>
          <w:p>
            <w:pPr>
              <w:jc w:val="center"/>
            </w:pPr>
            <w:r>
              <w:rPr>
                <w:rFonts w:ascii="Arial" w:cs="Arial" w:eastAsia="Arial" w:hAnsi="Arial"/>
                <w:b/>
                <w:bCs/>
                <w:color w:val="1F497D"/>
                <w:sz w:val="18"/>
                <w:szCs w:val="18"/>
              </w:rPr>
              <w:t xml:space="preserve">S3</w:t>
            </w:r>
          </w:p>
        </w:tc>
      </w:tr>
      <w:tr>
        <w:tc>
          <w:tcPr>
            <w:tcW w:type="dxa" w:w="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Courier New" w:cs="Courier New" w:eastAsia="Courier New" w:hAnsi="Courier New"/>
                <w:b/>
                <w:bCs/>
                <w:sz w:val="17"/>
                <w:szCs w:val="17"/>
              </w:rPr>
              <w:t xml:space="preserve">DOC-01</w:t>
            </w:r>
          </w:p>
        </w:tc>
        <w:tc>
          <w:tcPr>
            <w:tcW w:type="dxa" w:w="1500"/>
            <w:tcBorders>
              <w:top w:val="single" w:color="CCCCCC" w:sz="1"/>
              <w:left w:val="single" w:color="CCCCCC" w:sz="1"/>
              <w:bottom w:val="single" w:color="CCCCCC" w:sz="1"/>
              <w:right w:val="single" w:color="CCCCCC" w:sz="1"/>
            </w:tcBorders>
            <w:shd w:fill="E060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ALTO</w:t>
            </w:r>
          </w:p>
        </w:tc>
        <w:tc>
          <w:tcPr>
            <w:tcW w:type="dxa" w:w="24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b/>
                <w:bCs/>
                <w:sz w:val="18"/>
                <w:szCs w:val="18"/>
              </w:rPr>
              <w:t xml:space="preserve">README API non aggiornato</w:t>
            </w:r>
          </w:p>
        </w:tc>
        <w:tc>
          <w:tcPr>
            <w:tcW w:type="dxa" w:w="2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sz w:val="17"/>
                <w:szCs w:val="17"/>
              </w:rPr>
              <w:t xml:space="preserve">Esempi v3 non compilano con v5</w:t>
            </w:r>
          </w:p>
        </w:tc>
        <w:tc>
          <w:tcPr>
            <w:tcW w:type="dxa" w:w="1726"/>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Courier New" w:cs="Courier New" w:eastAsia="Courier New" w:hAnsi="Courier New"/>
                <w:i/>
                <w:iCs/>
                <w:sz w:val="16"/>
                <w:szCs w:val="16"/>
              </w:rPr>
              <w:t xml:space="preserve">README.md</w:t>
            </w:r>
          </w:p>
        </w:tc>
        <w:tc>
          <w:tcPr>
            <w:tcW w:type="dxa" w:w="8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1F497D"/>
                <w:sz w:val="18"/>
                <w:szCs w:val="18"/>
              </w:rPr>
              <w:t xml:space="preserve">S2</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sz w:val="17"/>
                <w:szCs w:val="17"/>
              </w:rPr>
              <w:t xml:space="preserve">DOC-02</w:t>
            </w:r>
          </w:p>
        </w:tc>
        <w:tc>
          <w:tcPr>
            <w:tcW w:type="dxa" w:w="1500"/>
            <w:tcBorders>
              <w:top w:val="single" w:color="CCCCCC" w:sz="1"/>
              <w:left w:val="single" w:color="CCCCCC" w:sz="1"/>
              <w:bottom w:val="single" w:color="CCCCCC" w:sz="1"/>
              <w:right w:val="single" w:color="CCCCCC" w:sz="1"/>
            </w:tcBorders>
            <w:shd w:fill="888888"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BASSO</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sz w:val="18"/>
                <w:szCs w:val="18"/>
              </w:rPr>
              <w:t xml:space="preserve">SslMode=none in esempio MySQL</w:t>
            </w:r>
          </w:p>
        </w:tc>
        <w:tc>
          <w:tcPr>
            <w:tcW w:type="dxa" w:w="2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Configurazione insicura documentata</w:t>
            </w:r>
          </w:p>
        </w:tc>
        <w:tc>
          <w:tcPr>
            <w:tcW w:type="dxa" w:w="1726"/>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i/>
                <w:iCs/>
                <w:sz w:val="16"/>
                <w:szCs w:val="16"/>
              </w:rPr>
              <w:t xml:space="preserve">README.md</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bCs/>
                <w:color w:val="1F497D"/>
                <w:sz w:val="18"/>
                <w:szCs w:val="18"/>
              </w:rPr>
              <w:t xml:space="preserve">S3</w:t>
            </w:r>
          </w:p>
        </w:tc>
      </w:tr>
    </w:tbl>
    <w:p>
      <w:pPr>
        <w:spacing w:after="60" w:before="60"/>
      </w:pPr>
      <w:r>
        <w:t xml:space="preserve"/>
      </w:r>
    </w:p>
    <w:p>
      <w:pPr>
        <w:pStyle w:val="Heading2"/>
        <w:spacing w:after="80" w:before="280"/>
      </w:pPr>
      <w:r>
        <w:rPr>
          <w:rFonts w:ascii="Arial" w:cs="Arial" w:eastAsia="Arial" w:hAnsi="Arial"/>
          <w:b/>
          <w:bCs/>
          <w:color w:val="1F497D"/>
          <w:sz w:val="26"/>
          <w:szCs w:val="26"/>
        </w:rPr>
        <w:t xml:space="preserve">Sprint 1 — Hotfix Critico (Settimana 1)</w:t>
      </w:r>
    </w:p>
    <w:p>
      <w:pPr>
        <w:spacing w:after="80" w:before="80"/>
      </w:pPr>
      <w:r>
        <w:rPr>
          <w:rFonts w:ascii="Arial" w:cs="Arial" w:eastAsia="Arial" w:hAnsi="Arial"/>
          <w:sz w:val="20"/>
          <w:szCs w:val="20"/>
        </w:rPr>
        <w:t xml:space="preserve">Obiettivo: correggere i bug che impattano la correttezza funzionale in produzione. Release: v5.2.2</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BUG-01: sostituire ErrorCode con Number in SqlServerExceptions.IsThisADeadlock(). Aggiungere un test che verifica il comportamento retry con Number=1205.</w:t>
      </w:r>
    </w:p>
    <w:p>
      <w:pPr>
        <w:pStyle w:val="ListParagraph"/>
        <w:numPr>
          <w:ilvl w:val="0"/>
          <w:numId w:val="2"/>
        </w:numPr>
        <w:spacing w:after="40" w:before="40"/>
      </w:pPr>
      <w:r>
        <w:rPr>
          <w:rFonts w:ascii="Arial" w:cs="Arial" w:eastAsia="Arial" w:hAnsi="Arial"/>
          <w:sz w:val="20"/>
          <w:szCs w:val="20"/>
        </w:rPr>
        <w:t xml:space="preserve">BUG-02: leggere context.SetBatchSize in ConfigureNHibernate() e applicarlo con configuration.SetProperty("adonet.batch_size", ...).</w:t>
      </w:r>
    </w:p>
    <w:p>
      <w:pPr>
        <w:pStyle w:val="ListParagraph"/>
        <w:numPr>
          <w:ilvl w:val="0"/>
          <w:numId w:val="2"/>
        </w:numPr>
        <w:spacing w:after="40" w:before="40"/>
      </w:pPr>
      <w:r>
        <w:rPr>
          <w:rFonts w:ascii="Arial" w:cs="Arial" w:eastAsia="Arial" w:hAnsi="Arial"/>
          <w:sz w:val="20"/>
          <w:szCs w:val="20"/>
        </w:rPr>
        <w:t xml:space="preserve">BUG-03: decidere il comportamento di Dispose() su transazione attiva (rollback raccomandato). Documentare nel changelog.</w:t>
      </w:r>
    </w:p>
    <w:p>
      <w:pPr>
        <w:pStyle w:val="ListParagraph"/>
        <w:numPr>
          <w:ilvl w:val="0"/>
          <w:numId w:val="2"/>
        </w:numPr>
        <w:spacing w:after="40" w:before="40"/>
      </w:pPr>
      <w:r>
        <w:rPr>
          <w:rFonts w:ascii="Arial" w:cs="Arial" w:eastAsia="Arial" w:hAnsi="Arial"/>
          <w:sz w:val="20"/>
          <w:szCs w:val="20"/>
        </w:rPr>
        <w:t xml:space="preserve">BUG-04: valutare se aggiungere un overload RunInTransactionAsync(Func&lt;Task&gt;, int retry) che elimina la versione con Action sincrona o la depreca.</w:t>
      </w:r>
    </w:p>
    <w:p>
      <w:pPr>
        <w:pStyle w:val="ListParagraph"/>
        <w:numPr>
          <w:ilvl w:val="0"/>
          <w:numId w:val="2"/>
        </w:numPr>
        <w:spacing w:after="40" w:before="40"/>
      </w:pPr>
      <w:r>
        <w:rPr>
          <w:rFonts w:ascii="Arial" w:cs="Arial" w:eastAsia="Arial" w:hAnsi="Arial"/>
          <w:sz w:val="20"/>
          <w:szCs w:val="20"/>
        </w:rPr>
        <w:t xml:space="preserve">BUG-05: aggiungere integration.Driver&lt;MySqlDataDriver&gt;() per i case MySQL e MySQL57.</w:t>
      </w:r>
    </w:p>
    <w:p>
      <w:pPr>
        <w:pStyle w:val="ListParagraph"/>
        <w:numPr>
          <w:ilvl w:val="0"/>
          <w:numId w:val="2"/>
        </w:numPr>
        <w:spacing w:after="40" w:before="40"/>
      </w:pPr>
      <w:r>
        <w:rPr>
          <w:rFonts w:ascii="Arial" w:cs="Arial" w:eastAsia="Arial" w:hAnsi="Arial"/>
          <w:sz w:val="20"/>
          <w:szCs w:val="20"/>
        </w:rPr>
        <w:t xml:space="preserve">Pubblicare v5.2.2 su NuGet con note di rilascio che citano esplicitamente BUG-01 e BUG-02.</w:t>
      </w:r>
    </w:p>
    <w:p>
      <w:pPr>
        <w:spacing w:after="60" w:before="60"/>
      </w:pPr>
      <w:r>
        <w:t xml:space="preserve"/>
      </w:r>
    </w:p>
    <w:p>
      <w:pPr>
        <w:pStyle w:val="Heading2"/>
        <w:spacing w:after="80" w:before="280"/>
      </w:pPr>
      <w:r>
        <w:rPr>
          <w:rFonts w:ascii="Arial" w:cs="Arial" w:eastAsia="Arial" w:hAnsi="Arial"/>
          <w:b/>
          <w:bCs/>
          <w:color w:val="1F497D"/>
          <w:sz w:val="26"/>
          <w:szCs w:val="26"/>
        </w:rPr>
        <w:t xml:space="preserve">Sprint 2 — Stabilizzazione (Settimana 2)</w:t>
      </w:r>
    </w:p>
    <w:p>
      <w:pPr>
        <w:spacing w:after="80" w:before="80"/>
      </w:pPr>
      <w:r>
        <w:rPr>
          <w:rFonts w:ascii="Arial" w:cs="Arial" w:eastAsia="Arial" w:hAnsi="Arial"/>
          <w:sz w:val="20"/>
          <w:szCs w:val="20"/>
        </w:rPr>
        <w:t xml:space="preserve">Obiettivo: migliorare la robustezza asincrona, aggiornare la documentazione e correggere i test. Release: v5.3.0</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QA-01: rendere IRetryPolicy.PerformRetry async (interfaccia internal) e usare Task.Delay in ExponentialBackOffPolicy.</w:t>
      </w:r>
    </w:p>
    <w:p>
      <w:pPr>
        <w:pStyle w:val="ListParagraph"/>
        <w:numPr>
          <w:ilvl w:val="0"/>
          <w:numId w:val="2"/>
        </w:numPr>
        <w:spacing w:after="40" w:before="40"/>
      </w:pPr>
      <w:r>
        <w:rPr>
          <w:rFonts w:ascii="Arial" w:cs="Arial" w:eastAsia="Arial" w:hAnsi="Arial"/>
          <w:sz w:val="20"/>
          <w:szCs w:val="20"/>
        </w:rPr>
        <w:t xml:space="preserve">QA-02: rimuovere System.Net.Http e System.Text.RegularExpressions. Sostituire Microsoft.AspNetCore.Http.Abstractions con FrameworkReference.</w:t>
      </w:r>
    </w:p>
    <w:p>
      <w:pPr>
        <w:pStyle w:val="ListParagraph"/>
        <w:numPr>
          <w:ilvl w:val="0"/>
          <w:numId w:val="2"/>
        </w:numPr>
        <w:spacing w:after="40" w:before="40"/>
      </w:pPr>
      <w:r>
        <w:rPr>
          <w:rFonts w:ascii="Arial" w:cs="Arial" w:eastAsia="Arial" w:hAnsi="Arial"/>
          <w:sz w:val="20"/>
          <w:szCs w:val="20"/>
        </w:rPr>
        <w:t xml:space="preserve">TEST-01: sostituire tutti i List.ForEach(async ...) con foreach/await in PostgresTests.cs e SqlServerTests.cs.</w:t>
      </w:r>
    </w:p>
    <w:p>
      <w:pPr>
        <w:pStyle w:val="ListParagraph"/>
        <w:numPr>
          <w:ilvl w:val="0"/>
          <w:numId w:val="2"/>
        </w:numPr>
        <w:spacing w:after="40" w:before="40"/>
      </w:pPr>
      <w:r>
        <w:rPr>
          <w:rFonts w:ascii="Arial" w:cs="Arial" w:eastAsia="Arial" w:hAnsi="Arial"/>
          <w:sz w:val="20"/>
          <w:szCs w:val="20"/>
        </w:rPr>
        <w:t xml:space="preserve">TEST-02: spostare le connection string in variabili d'ambiente (Environment.GetEnvironmentVariable). Aggiornare .gitignore.</w:t>
      </w:r>
    </w:p>
    <w:p>
      <w:pPr>
        <w:pStyle w:val="ListParagraph"/>
        <w:numPr>
          <w:ilvl w:val="0"/>
          <w:numId w:val="2"/>
        </w:numPr>
        <w:spacing w:after="40" w:before="40"/>
      </w:pPr>
      <w:r>
        <w:rPr>
          <w:rFonts w:ascii="Arial" w:cs="Arial" w:eastAsia="Arial" w:hAnsi="Arial"/>
          <w:sz w:val="20"/>
          <w:szCs w:val="20"/>
        </w:rPr>
        <w:t xml:space="preserve">DOC-01: riscrivere tutti gli esempi README con la API v5. Aggiungere sezione RunInTransaction/RunInTransactionAsync.</w:t>
      </w:r>
    </w:p>
    <w:p>
      <w:pPr>
        <w:pStyle w:val="ListParagraph"/>
        <w:numPr>
          <w:ilvl w:val="0"/>
          <w:numId w:val="2"/>
        </w:numPr>
        <w:spacing w:after="40" w:before="40"/>
      </w:pPr>
      <w:r>
        <w:rPr>
          <w:rFonts w:ascii="Arial" w:cs="Arial" w:eastAsia="Arial" w:hAnsi="Arial"/>
          <w:sz w:val="20"/>
          <w:szCs w:val="20"/>
        </w:rPr>
        <w:t xml:space="preserve">DOC-02: aggiornare l'esempio MySQL con SslMode=Required.</w:t>
      </w:r>
    </w:p>
    <w:p>
      <w:pPr>
        <w:pStyle w:val="ListParagraph"/>
        <w:numPr>
          <w:ilvl w:val="0"/>
          <w:numId w:val="2"/>
        </w:numPr>
        <w:spacing w:after="40" w:before="40"/>
      </w:pPr>
      <w:r>
        <w:rPr>
          <w:rFonts w:ascii="Arial" w:cs="Arial" w:eastAsia="Arial" w:hAnsi="Arial"/>
          <w:sz w:val="20"/>
          <w:szCs w:val="20"/>
        </w:rPr>
        <w:t xml:space="preserve">Pubblicare v5.3.0 su NuGet.</w:t>
      </w:r>
    </w:p>
    <w:p>
      <w:pPr>
        <w:spacing w:after="60" w:before="60"/>
      </w:pPr>
      <w:r>
        <w:t xml:space="preserve"/>
      </w:r>
    </w:p>
    <w:p>
      <w:pPr>
        <w:pStyle w:val="Heading2"/>
        <w:spacing w:after="80" w:before="280"/>
      </w:pPr>
      <w:r>
        <w:rPr>
          <w:rFonts w:ascii="Arial" w:cs="Arial" w:eastAsia="Arial" w:hAnsi="Arial"/>
          <w:b/>
          <w:bCs/>
          <w:color w:val="1F497D"/>
          <w:sz w:val="26"/>
          <w:szCs w:val="26"/>
        </w:rPr>
        <w:t xml:space="preserve">Sprint 3 — Qualita' e Roadmap (Settimana 3)</w:t>
      </w:r>
    </w:p>
    <w:p>
      <w:pPr>
        <w:spacing w:after="80" w:before="80"/>
      </w:pPr>
      <w:r>
        <w:rPr>
          <w:rFonts w:ascii="Arial" w:cs="Arial" w:eastAsia="Arial" w:hAnsi="Arial"/>
          <w:sz w:val="20"/>
          <w:szCs w:val="20"/>
        </w:rPr>
        <w:t xml:space="preserve">Obiettivo: eliminare il debito tecnico residuo e preparare il terreno per net9.0. Release: v5.4.0</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QA-03: aggiungere almeno la proprieta' Id a IPersistentEntity, oppure documentare esplicitamente che e' un marker intentionally empty.</w:t>
      </w:r>
    </w:p>
    <w:p>
      <w:pPr>
        <w:pStyle w:val="ListParagraph"/>
        <w:numPr>
          <w:ilvl w:val="0"/>
          <w:numId w:val="2"/>
        </w:numPr>
        <w:spacing w:after="40" w:before="40"/>
      </w:pPr>
      <w:r>
        <w:rPr>
          <w:rFonts w:ascii="Arial" w:cs="Arial" w:eastAsia="Arial" w:hAnsi="Arial"/>
          <w:sz w:val="20"/>
          <w:szCs w:val="20"/>
        </w:rPr>
        <w:t xml:space="preserve">QA-04: rimuovere il codice commentato da UnitOfWorkExtensions.cs e BsClassCustomizer.cs. Allineare Global.BATCH_SIZE con DbContext.SetBatchSize default.</w:t>
      </w:r>
    </w:p>
    <w:p>
      <w:pPr>
        <w:pStyle w:val="ListParagraph"/>
        <w:numPr>
          <w:ilvl w:val="0"/>
          <w:numId w:val="2"/>
        </w:numPr>
        <w:spacing w:after="40" w:before="40"/>
      </w:pPr>
      <w:r>
        <w:rPr>
          <w:rFonts w:ascii="Arial" w:cs="Arial" w:eastAsia="Arial" w:hAnsi="Arial"/>
          <w:sz w:val="20"/>
          <w:szCs w:val="20"/>
        </w:rPr>
        <w:t xml:space="preserve">TEST-03: creare scope DI espliciti nelle fixture PostgresFixture/SqlServerFixture per rispettare il lifecycle Scoped di IUnitOfWork.</w:t>
      </w:r>
    </w:p>
    <w:p>
      <w:pPr>
        <w:pStyle w:val="ListParagraph"/>
        <w:numPr>
          <w:ilvl w:val="0"/>
          <w:numId w:val="2"/>
        </w:numPr>
        <w:spacing w:after="40" w:before="40"/>
      </w:pPr>
      <w:r>
        <w:rPr>
          <w:rFonts w:ascii="Arial" w:cs="Arial" w:eastAsia="Arial" w:hAnsi="Arial"/>
          <w:sz w:val="20"/>
          <w:szCs w:val="20"/>
        </w:rPr>
        <w:t xml:space="preserve">Aggiungere net9.0 come TargetFramework aggiuntivo e testare la compatibilita'.</w:t>
      </w:r>
    </w:p>
    <w:p>
      <w:pPr>
        <w:pStyle w:val="ListParagraph"/>
        <w:numPr>
          <w:ilvl w:val="0"/>
          <w:numId w:val="2"/>
        </w:numPr>
        <w:spacing w:after="40" w:before="40"/>
      </w:pPr>
      <w:r>
        <w:rPr>
          <w:rFonts w:ascii="Arial" w:cs="Arial" w:eastAsia="Arial" w:hAnsi="Arial"/>
          <w:sz w:val="20"/>
          <w:szCs w:val="20"/>
        </w:rPr>
        <w:t xml:space="preserve">Verificare NHibernate: controllare se sono disponibili versioni piu' recenti di NHibernate 5.5.2 e valutare l'aggiornamento.</w:t>
      </w:r>
    </w:p>
    <w:p>
      <w:pPr>
        <w:pStyle w:val="ListParagraph"/>
        <w:numPr>
          <w:ilvl w:val="0"/>
          <w:numId w:val="2"/>
        </w:numPr>
        <w:spacing w:after="40" w:before="40"/>
      </w:pPr>
      <w:r>
        <w:rPr>
          <w:rFonts w:ascii="Arial" w:cs="Arial" w:eastAsia="Arial" w:hAnsi="Arial"/>
          <w:sz w:val="20"/>
          <w:szCs w:val="20"/>
        </w:rPr>
        <w:t xml:space="preserve">Valutare MySqlConnector (Pomelo) come alternativa a MySql.Data (Oracle) per performance e manutenzione.</w:t>
      </w:r>
    </w:p>
    <w:p>
      <w:pPr>
        <w:pStyle w:val="ListParagraph"/>
        <w:numPr>
          <w:ilvl w:val="0"/>
          <w:numId w:val="2"/>
        </w:numPr>
        <w:spacing w:after="40" w:before="40"/>
      </w:pPr>
      <w:r>
        <w:rPr>
          <w:rFonts w:ascii="Arial" w:cs="Arial" w:eastAsia="Arial" w:hAnsi="Arial"/>
          <w:sz w:val="20"/>
          <w:szCs w:val="20"/>
        </w:rPr>
        <w:t xml:space="preserve">Pubblicare v5.4.0 su NuGet.</w:t>
      </w:r>
    </w:p>
    <w:p>
      <w:pPr>
        <w:spacing w:after="60" w:before="60"/>
      </w:pPr>
      <w:r>
        <w:t xml:space="preserve"/>
      </w:r>
    </w:p>
    <w:p>
      <w:pPr>
        <w:pageBreakBefore/>
      </w:pPr>
      <w:r>
        <w:t xml:space="preserve"/>
      </w:r>
    </w:p>
    <w:p>
      <w:pPr>
        <w:pStyle w:val="Heading1"/>
        <w:spacing w:after="120" w:before="360"/>
      </w:pPr>
      <w:r>
        <w:rPr>
          <w:rFonts w:ascii="Arial" w:cs="Arial" w:eastAsia="Arial" w:hAnsi="Arial"/>
          <w:b/>
          <w:bCs/>
          <w:color w:val="1F497D"/>
          <w:sz w:val="32"/>
          <w:szCs w:val="32"/>
        </w:rPr>
        <w:t xml:space="preserve">6. Breaking Change — Analisi di Rischio</w:t>
      </w:r>
    </w:p>
    <w:p>
      <w:pPr>
        <w:spacing w:after="80" w:before="80"/>
      </w:pPr>
      <w:r>
        <w:rPr>
          <w:rFonts w:ascii="Arial" w:cs="Arial" w:eastAsia="Arial" w:hAnsi="Arial"/>
          <w:sz w:val="20"/>
          <w:szCs w:val="20"/>
        </w:rPr>
        <w:t xml:space="preserve">Tutte le modifiche proposte sono state progettate per essere backward-compatible. La tabella seguente riassume le verifiche effettuate per ogni categoria di cambiamento.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Tipo di modifica</w:t>
            </w:r>
          </w:p>
        </w:tc>
        <w:tc>
          <w:tcPr>
            <w:tcW w:type="dxa" w:w="18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Breaking change?</w:t>
            </w:r>
          </w:p>
        </w:tc>
        <w:tc>
          <w:tcPr>
            <w:tcW w:type="dxa" w:w="4226"/>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Note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Fix logica interna (BUG-01, 02, 04, 05)</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NO</w:t>
            </w:r>
          </w:p>
        </w:tc>
        <w:tc>
          <w:tcPr>
            <w:tcW w:type="dxa" w:w="4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Modifiche interne senza impatto sull'API pubblica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Fix Dispose() rollback (BUG-03)</w:t>
            </w:r>
          </w:p>
        </w:tc>
        <w:tc>
          <w:tcPr>
            <w:tcW w:type="dxa" w:w="1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E06000"/>
                <w:sz w:val="17"/>
                <w:szCs w:val="17"/>
              </w:rPr>
              <w:t xml:space="preserve">DA VALUTARE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 applicazioni si affidano al commit implicito, il comportamento cambia. Comunicare nel changelog v6.0.0 se breaking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Rimozione pacchetti NuGet ridondanti (QA-02)</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NO</w:t>
            </w:r>
          </w:p>
        </w:tc>
        <w:tc>
          <w:tcPr>
            <w:tcW w:type="dxa" w:w="4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I tipi rimangono disponibili dall'SDK net8.0. Nessuna rimozione di namespace o tipi pubblici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IRetryPolicy async (QA-01)</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NO</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IRetryPolicy e INotConfiguredPolicy sono internal: nessun consumer esterno puo' dipenderne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Aggiornamento README (DOC-01, 02)</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NO</w:t>
            </w:r>
          </w:p>
        </w:tc>
        <w:tc>
          <w:tcPr>
            <w:tcW w:type="dxa" w:w="4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Solo documentazione, nessun impatto runtime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Aggiunta TargetFramework net9.0 (Sprint 3)</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NO</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Multi-targeting: aggiunto, non sostituito</w:t>
            </w:r>
          </w:p>
        </w:tc>
      </w:tr>
    </w:tbl>
    <w:p>
      <w:pPr>
        <w:spacing w:after="60" w:before="60"/>
      </w:pPr>
      <w:r>
        <w:t xml:space="preserve"/>
      </w:r>
    </w:p>
    <w:p>
      <w:pPr>
        <w:spacing w:after="60" w:before="60"/>
      </w:pPr>
      <w:r>
        <w:t xml:space="preserve"/>
      </w:r>
    </w:p>
    <w:p>
      <w:pPr>
        <w:spacing w:after="80" w:before="80"/>
      </w:pPr>
      <w:r>
        <w:rPr>
          <w:rFonts w:ascii="Arial" w:cs="Arial" w:eastAsia="Arial" w:hAnsi="Arial"/>
          <w:b/>
          <w:bCs/>
          <w:sz w:val="20"/>
          <w:szCs w:val="20"/>
        </w:rPr>
        <w:t xml:space="preserve">Strategia di versionamento: </w:t>
      </w:r>
      <w:r>
        <w:rPr>
          <w:rFonts w:ascii="Arial" w:cs="Arial" w:eastAsia="Arial" w:hAnsi="Arial"/>
          <w:sz w:val="20"/>
          <w:szCs w:val="20"/>
        </w:rPr>
        <w:t xml:space="preserve">v5.2.2 per Sprint 1 (patch), v5.3.0 per Sprint 2 (minor), v5.4.0 per Sprint 3 (minor). Solo in caso si decida di modificare il comportamento di Dispose() (BUG-03) incrementare a v6.0.0 con documentazione del breaking change.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tabs>
        <w:tab w:val="right" w:pos="9026"/>
      </w:tabs>
    </w:pPr>
    <w:r>
      <w:rPr>
        <w:rFonts w:ascii="Arial" w:cs="Arial" w:eastAsia="Arial" w:hAnsi="Arial"/>
        <w:color w:val="666666"/>
        <w:sz w:val="18"/>
        <w:szCs w:val="18"/>
      </w:rPr>
      <w:t xml:space="preserve">bs.Data — Analisi e Piano di Stabilizzazione</w:t>
    </w:r>
    <w:r>
      <w:rPr>
        <w:rFonts w:ascii="Arial" w:cs="Arial" w:eastAsia="Arial" w:hAnsi="Arial"/>
        <w:color w:val="666666"/>
        <w:sz w:val="18"/>
        <w:szCs w:val="18"/>
      </w:rPr>
      <w:t xml:space="preserve">	02/07/2026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497D"/>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2026-07-02T10:36:12.183Z</dcterms:created>
  <dcterms:modified xsi:type="dcterms:W3CDTF">2026-07-02T10:36:12.183Z</dcterms:modified>
</cp:coreProperties>
</file>

<file path=docProps/custom.xml><?xml version="1.0" encoding="utf-8"?>
<Properties xmlns="http://schemas.openxmlformats.org/officeDocument/2006/custom-properties" xmlns:vt="http://schemas.openxmlformats.org/officeDocument/2006/docPropsVTypes"/>
</file>