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038B" w:rsidRPr="00B53046" w:rsidRDefault="006F275C">
      <w:pPr>
        <w:spacing w:before="200" w:after="360"/>
        <w:rPr>
          <w:lang w:val="en-US"/>
        </w:rPr>
      </w:pPr>
      <w:r>
        <w:rPr>
          <w:rFonts w:ascii="Arial" w:eastAsia="Arial" w:hAnsi="Arial" w:cs="Arial"/>
          <w:b/>
          <w:bCs/>
          <w:color w:val="1E3A5F"/>
          <w:sz w:val="40"/>
          <w:szCs w:val="40"/>
          <w:lang w:val="en-US"/>
        </w:rPr>
        <w:t>ArtGene-Archive: A Cryptographic Certification Registry for AI-Generated Biological Sequences</w:t>
      </w:r>
    </w:p>
    <w:p w:rsidR="00DF038B" w:rsidRPr="00B53046" w:rsidRDefault="006F275C">
      <w:pPr>
        <w:spacing w:after="100"/>
        <w:rPr>
          <w:lang w:val="en-US"/>
        </w:rPr>
      </w:pPr>
      <w:r>
        <w:rPr>
          <w:rFonts w:ascii="Arial" w:eastAsia="Arial" w:hAnsi="Arial" w:cs="Arial"/>
          <w:b/>
          <w:bCs/>
          <w:sz w:val="28"/>
          <w:szCs w:val="28"/>
          <w:lang w:val="en-US"/>
        </w:rPr>
        <w:t>Babita Singh</w:t>
      </w:r>
    </w:p>
    <w:p w:rsidR="00DF038B" w:rsidRPr="00B53046" w:rsidRDefault="006F275C">
      <w:pPr>
        <w:spacing w:after="120"/>
        <w:rPr>
          <w:lang w:val="en-US"/>
        </w:rPr>
      </w:pPr>
      <w:r>
        <w:rPr>
          <w:rFonts w:ascii="Arial" w:eastAsia="Arial" w:hAnsi="Arial" w:cs="Arial"/>
          <w:sz w:val="20"/>
          <w:szCs w:val="20"/>
          <w:vertAlign w:val="superscript"/>
          <w:lang w:val="en-US"/>
        </w:rPr>
        <w:t>1</w:t>
      </w:r>
      <w:r>
        <w:rPr>
          <w:rFonts w:ascii="Arial" w:eastAsia="Arial" w:hAnsi="Arial" w:cs="Arial"/>
          <w:i/>
          <w:iCs/>
          <w:sz w:val="20"/>
          <w:szCs w:val="20"/>
          <w:lang w:val="en-US"/>
        </w:rPr>
        <w:t xml:space="preserve">  Independent Researcher; </w:t>
      </w:r>
      <w:r>
        <w:rPr>
          <w:rFonts w:ascii="Arial" w:eastAsia="Arial" w:hAnsi="Arial" w:cs="Arial"/>
          <w:sz w:val="20"/>
          <w:szCs w:val="20"/>
          <w:vertAlign w:val="superscript"/>
          <w:lang w:val="en-US"/>
        </w:rPr>
        <w:t>2</w:t>
      </w:r>
      <w:r>
        <w:rPr>
          <w:rFonts w:ascii="Arial" w:eastAsia="Arial" w:hAnsi="Arial" w:cs="Arial"/>
          <w:i/>
          <w:iCs/>
          <w:sz w:val="20"/>
          <w:szCs w:val="20"/>
          <w:lang w:val="en-US"/>
        </w:rPr>
        <w:t xml:space="preserve">  Genethropic, Barcelona, Spain</w:t>
      </w:r>
    </w:p>
    <w:p w:rsidR="00DF038B" w:rsidRPr="00B53046" w:rsidRDefault="006F275C">
      <w:pPr>
        <w:spacing w:after="80"/>
        <w:rPr>
          <w:lang w:val="en-US"/>
        </w:rPr>
      </w:pPr>
      <w:r>
        <w:rPr>
          <w:rFonts w:ascii="Arial" w:eastAsia="Arial" w:hAnsi="Arial" w:cs="Arial"/>
          <w:bCs/>
          <w:sz w:val="20"/>
          <w:szCs w:val="20"/>
          <w:lang w:val="en-US"/>
        </w:rPr>
        <w:t xml:space="preserve">Correspondence: </w:t>
      </w:r>
      <w:r>
        <w:rPr>
          <w:bCs/>
          <w:lang w:val="en-US"/>
        </w:rPr>
        <w:t>b@g</w:t>
      </w:r>
      <w:r w:rsidR="00CD2E9E">
        <w:rPr>
          <w:bCs/>
          <w:lang w:val="en-US"/>
        </w:rPr>
        <w:softHyphen/>
      </w:r>
      <w:r w:rsidR="00CD2E9E">
        <w:rPr>
          <w:bCs/>
          <w:lang w:val="en-US"/>
        </w:rPr>
        <w:softHyphen/>
      </w:r>
      <w:r>
        <w:rPr>
          <w:bCs/>
          <w:lang w:val="en-US"/>
        </w:rPr>
        <w:t>enethropic.com</w:t>
      </w:r>
    </w:p>
    <w:p w:rsidR="00DF038B" w:rsidRPr="00B53046" w:rsidRDefault="006F275C" w:rsidP="00B53046">
      <w:pPr>
        <w:rPr>
          <w:lang w:val="en-US"/>
        </w:rPr>
      </w:pPr>
      <w:r>
        <w:rPr>
          <w:rFonts w:ascii="Arial" w:eastAsia="Arial" w:hAnsi="Arial" w:cs="Arial"/>
          <w:b/>
          <w:bCs/>
          <w:sz w:val="20"/>
          <w:szCs w:val="20"/>
          <w:lang w:val="en-US"/>
        </w:rPr>
        <w:t xml:space="preserve">ORCID: </w:t>
      </w:r>
      <w:hyperlink r:id="rId5" w:history="1">
        <w:r>
          <w:rPr>
            <w:rStyle w:val="Hyperlink"/>
            <w:sz w:val="21"/>
            <w:szCs w:val="21"/>
            <w:shd w:val="clear" w:color="auto" w:fill="FFFFFF"/>
            <w:lang w:val="en-US"/>
          </w:rPr>
          <w:t>http://</w:t>
        </w:r>
        <w:r>
          <w:rPr>
            <w:rStyle w:val="Hyperlink"/>
            <w:b/>
            <w:bCs/>
            <w:sz w:val="21"/>
            <w:szCs w:val="21"/>
            <w:shd w:val="clear" w:color="auto" w:fill="FFFFFF"/>
            <w:lang w:val="en-US"/>
          </w:rPr>
          <w:t>orcid</w:t>
        </w:r>
        <w:r>
          <w:rPr>
            <w:rStyle w:val="Hyperlink"/>
            <w:sz w:val="21"/>
            <w:szCs w:val="21"/>
            <w:shd w:val="clear" w:color="auto" w:fill="FFFFFF"/>
            <w:lang w:val="en-US"/>
          </w:rPr>
          <w:t>.org/</w:t>
        </w:r>
        <w:r>
          <w:rPr>
            <w:rStyle w:val="Hyperlink"/>
            <w:b/>
            <w:bCs/>
            <w:sz w:val="21"/>
            <w:szCs w:val="21"/>
            <w:shd w:val="clear" w:color="auto" w:fill="FFFFFF"/>
            <w:lang w:val="en-US"/>
          </w:rPr>
          <w:t>0000-0002-7989-9084</w:t>
        </w:r>
      </w:hyperlink>
      <w:r>
        <w:rPr>
          <w:lang w:val="en-US"/>
        </w:rPr>
        <w:br/>
      </w:r>
    </w:p>
    <w:p w:rsidR="00DF038B" w:rsidRPr="00B53046" w:rsidRDefault="00B53046">
      <w:pPr>
        <w:spacing w:after="100"/>
        <w:rPr>
          <w:lang w:val="en-US"/>
        </w:rPr>
      </w:pPr>
      <w:r>
        <w:rPr>
          <w:i/>
          <w:iCs/>
          <w:color w:val="555555"/>
          <w:sz w:val="20"/>
          <w:szCs w:val="20"/>
          <w:lang w:val="en-US"/>
        </w:rPr>
        <w:t xml:space="preserve">First published </w:t>
      </w:r>
      <w:r>
        <w:rPr>
          <w:rFonts w:ascii="Arial" w:eastAsia="Arial" w:hAnsi="Arial" w:cs="Arial"/>
          <w:i/>
          <w:iCs/>
          <w:color w:val="555555"/>
          <w:sz w:val="20"/>
          <w:szCs w:val="20"/>
          <w:lang w:val="en-US"/>
        </w:rPr>
        <w:t>at the AIxBio Hackathon, April 2026, organised by Apart Research.</w:t>
      </w:r>
    </w:p>
    <w:p w:rsidR="00DF038B" w:rsidRPr="00B53046" w:rsidRDefault="006F275C">
      <w:pPr>
        <w:spacing w:after="80"/>
        <w:rPr>
          <w:lang w:val="en-US"/>
        </w:rPr>
      </w:pPr>
      <w:r>
        <w:rPr>
          <w:rFonts w:ascii="Arial" w:eastAsia="Arial" w:hAnsi="Arial" w:cs="Arial"/>
          <w:i/>
          <w:iCs/>
          <w:color w:val="888888"/>
          <w:sz w:val="20"/>
          <w:szCs w:val="20"/>
          <w:lang w:val="en-US"/>
        </w:rPr>
        <w:t>bioRxiv category: Synthetic Biology</w:t>
      </w:r>
    </w:p>
    <w:p w:rsidR="00DF038B" w:rsidRPr="00B53046" w:rsidRDefault="006F275C">
      <w:pPr>
        <w:spacing w:after="80"/>
        <w:rPr>
          <w:lang w:val="en-US"/>
        </w:rPr>
      </w:pPr>
      <w:r>
        <w:rPr>
          <w:rFonts w:ascii="Arial" w:eastAsia="Arial" w:hAnsi="Arial" w:cs="Arial"/>
          <w:b/>
          <w:bCs/>
          <w:sz w:val="20"/>
          <w:szCs w:val="20"/>
          <w:lang w:val="en-US"/>
        </w:rPr>
        <w:t xml:space="preserve">Running title: </w:t>
      </w:r>
      <w:r>
        <w:rPr>
          <w:rFonts w:ascii="Arial" w:eastAsia="Arial" w:hAnsi="Arial" w:cs="Arial"/>
          <w:sz w:val="20"/>
          <w:szCs w:val="20"/>
          <w:lang w:val="en-US"/>
        </w:rPr>
        <w:t>ArtGene-Archive: cryptographic registry for AI-generated sequences</w:t>
      </w:r>
    </w:p>
    <w:p w:rsidR="00DF038B" w:rsidRPr="00B53046" w:rsidRDefault="00DF038B">
      <w:pPr>
        <w:spacing w:after="200"/>
        <w:rPr>
          <w:lang w:val="en-US"/>
        </w:rPr>
      </w:pPr>
    </w:p>
    <w:p w:rsidR="00DF038B" w:rsidRPr="00B53046" w:rsidRDefault="006F275C">
      <w:pPr>
        <w:pBdr>
          <w:bottom w:val="single" w:sz="6" w:space="1" w:color="2C5F8A"/>
        </w:pBdr>
        <w:spacing w:before="420" w:after="200"/>
        <w:rPr>
          <w:lang w:val="en-US"/>
        </w:rPr>
      </w:pPr>
      <w:r>
        <w:rPr>
          <w:rFonts w:ascii="Arial" w:eastAsia="Arial" w:hAnsi="Arial" w:cs="Arial"/>
          <w:b/>
          <w:bCs/>
          <w:color w:val="1E3A5F"/>
          <w:sz w:val="28"/>
          <w:szCs w:val="28"/>
          <w:lang w:val="en-US"/>
        </w:rPr>
        <w:t>Abstract</w:t>
      </w:r>
    </w:p>
    <w:p w:rsidR="00DF038B" w:rsidRPr="00B53046" w:rsidRDefault="006F275C">
      <w:pPr>
        <w:spacing w:after="160" w:line="360" w:lineRule="auto"/>
        <w:jc w:val="both"/>
        <w:rPr>
          <w:lang w:val="en-US"/>
        </w:rPr>
      </w:pPr>
      <w:r>
        <w:rPr>
          <w:rFonts w:ascii="Arial" w:eastAsia="Arial" w:hAnsi="Arial" w:cs="Arial"/>
          <w:b/>
          <w:bCs/>
          <w:sz w:val="22"/>
          <w:szCs w:val="22"/>
          <w:lang w:val="en-US"/>
        </w:rPr>
        <w:t xml:space="preserve">Background:  </w:t>
      </w:r>
      <w:r>
        <w:rPr>
          <w:rFonts w:ascii="Arial" w:eastAsia="Arial" w:hAnsi="Arial" w:cs="Arial"/>
          <w:sz w:val="22"/>
          <w:szCs w:val="22"/>
          <w:lang w:val="en-US"/>
        </w:rPr>
        <w:t>Generative AI models are producing novel proteins and gene sequences at a rate that outpaces the cataloguing, biosafety evaluation, and attribution capacity of existing biological registries. No shared infrastructure currently distinguishes AI-designed sequences from naturally occurring ones, screens them for biosafety at the point of design, or issues cryptographically verifiable creator attribution.</w:t>
      </w:r>
    </w:p>
    <w:p w:rsidR="00DF038B" w:rsidRPr="00B53046" w:rsidRDefault="006F275C">
      <w:pPr>
        <w:spacing w:after="160" w:line="360" w:lineRule="auto"/>
        <w:jc w:val="both"/>
        <w:rPr>
          <w:lang w:val="en-US"/>
        </w:rPr>
      </w:pPr>
      <w:r>
        <w:rPr>
          <w:rFonts w:ascii="Arial" w:eastAsia="Arial" w:hAnsi="Arial" w:cs="Arial"/>
          <w:b/>
          <w:bCs/>
          <w:sz w:val="22"/>
          <w:szCs w:val="22"/>
          <w:lang w:val="en-US"/>
        </w:rPr>
        <w:t xml:space="preserve">Methods:  </w:t>
      </w:r>
      <w:r>
        <w:rPr>
          <w:rFonts w:ascii="Arial" w:eastAsia="Arial" w:hAnsi="Arial" w:cs="Arial"/>
          <w:sz w:val="22"/>
          <w:szCs w:val="22"/>
          <w:lang w:val="en-US"/>
        </w:rPr>
        <w:t>ArtGene-Archive is implemented as a Python/TypeScript monorepo comprising three backend packages (tinsel-core, tinsel-gates, tinsel-api) and a Next.js 16 dashboard. The submission pipeline integrates a four-gate automated biosafety screen, the TINSEL (Traceable INtegrated Sequence ELement) HMAC-SHA3-256 spread-spectrum codon watermark with Reed-Solomon forward error correction, WOTS+ post-quantum certificate signing, and a SHA3-256-chained tamper-evident audit log persisted in PostgreSQL.</w:t>
      </w:r>
    </w:p>
    <w:p w:rsidR="00DF038B" w:rsidRPr="00B53046" w:rsidRDefault="006F275C">
      <w:pPr>
        <w:spacing w:after="160" w:line="360" w:lineRule="auto"/>
        <w:jc w:val="both"/>
        <w:rPr>
          <w:lang w:val="en-US"/>
        </w:rPr>
      </w:pPr>
      <w:r>
        <w:rPr>
          <w:rFonts w:ascii="Arial" w:eastAsia="Arial" w:hAnsi="Arial" w:cs="Arial"/>
          <w:b/>
          <w:bCs/>
          <w:sz w:val="22"/>
          <w:szCs w:val="22"/>
          <w:lang w:val="en-US"/>
        </w:rPr>
        <w:t>Results:  The full registration pipeline is publicly accessible at artgene-archive.org. Three primary biosafety gates are fully operational: Gate alpha screens structural confidence via ESMFold pLDDT scoring; Gate beta evaluates amino acid composition for hydropathy, toxin probability, allergen probability, and antimicrobial peptide k-mer overlap using a custom composition heuristic; Gate gamma assesses horizontal gene transfer propensity from codon usage patterns and GC content via a custom composite CAI-based metric. Gate delta, which screens for functional analogues of dangerous proteins prior to certificate issuance, is operational in pre-production demo mode using composition fingerprinting pending full ESM-2 embedding integration. TINSEL watermarking, per-recipient distribution fingerprinting, and Verify Source leak attribution are all functional. Certificates are WOTS+-signed and appended atomically to an immutable audit log.</w:t>
      </w:r>
      <w:r>
        <w:rPr>
          <w:rFonts w:ascii="Arial" w:eastAsia="Arial" w:hAnsi="Arial" w:cs="Arial"/>
          <w:sz w:val="22"/>
          <w:szCs w:val="22"/>
          <w:lang w:val="en-US"/>
        </w:rPr>
      </w:r>
    </w:p>
    <w:p w:rsidR="00DF038B" w:rsidRPr="00B53046" w:rsidRDefault="006F275C">
      <w:pPr>
        <w:spacing w:after="160" w:line="360" w:lineRule="auto"/>
        <w:jc w:val="both"/>
        <w:rPr>
          <w:lang w:val="en-US"/>
        </w:rPr>
      </w:pPr>
      <w:r>
        <w:rPr>
          <w:rFonts w:ascii="Arial" w:eastAsia="Arial" w:hAnsi="Arial" w:cs="Arial"/>
          <w:b/>
          <w:bCs/>
          <w:sz w:val="22"/>
          <w:szCs w:val="22"/>
          <w:lang w:val="en-US"/>
        </w:rPr>
        <w:lastRenderedPageBreak/>
        <w:t xml:space="preserve">Conclusions:  </w:t>
      </w:r>
      <w:r>
        <w:rPr>
          <w:rFonts w:ascii="Arial" w:eastAsia="Arial" w:hAnsi="Arial" w:cs="Arial"/>
          <w:sz w:val="22"/>
          <w:szCs w:val="22"/>
          <w:lang w:val="en-US"/>
        </w:rPr>
        <w:t>ArtGene-Archive demonstrates that cryptographic provenance, automated biosafety screening, and creator attribution for AI-generated biological sequences can be delivered as a single atomic operation at the point of deposit. The system addresses a structural gap in biological data infrastructure analogous to the one GenBank filled for sequencer-derived data in 1982.</w:t>
      </w:r>
    </w:p>
    <w:p w:rsidR="00DF038B" w:rsidRPr="00B53046" w:rsidRDefault="00DF038B">
      <w:pPr>
        <w:spacing w:after="80"/>
        <w:rPr>
          <w:lang w:val="en-US"/>
        </w:rPr>
      </w:pPr>
    </w:p>
    <w:p w:rsidR="00DF038B" w:rsidRPr="00B53046" w:rsidRDefault="006F275C">
      <w:pPr>
        <w:spacing w:after="80"/>
        <w:rPr>
          <w:lang w:val="en-US"/>
        </w:rPr>
      </w:pPr>
      <w:r>
        <w:rPr>
          <w:rFonts w:ascii="Arial" w:eastAsia="Arial" w:hAnsi="Arial" w:cs="Arial"/>
          <w:b/>
          <w:bCs/>
          <w:sz w:val="20"/>
          <w:szCs w:val="20"/>
          <w:lang w:val="en-US"/>
        </w:rPr>
        <w:t xml:space="preserve">Keywords: </w:t>
      </w:r>
      <w:r>
        <w:rPr>
          <w:rFonts w:ascii="Arial" w:eastAsia="Arial" w:hAnsi="Arial" w:cs="Arial"/>
          <w:sz w:val="20"/>
          <w:szCs w:val="20"/>
          <w:lang w:val="en-US"/>
        </w:rPr>
        <w:t>AI-generated sequences; codon watermarking; biosafety screening; cryptographic provenance; sequence registry; synthetic biology; post-quantum cryptography; TINSEL algorithm</w:t>
      </w:r>
    </w:p>
    <w:p w:rsidR="00DF038B" w:rsidRPr="00B53046" w:rsidRDefault="00DF038B">
      <w:pPr>
        <w:spacing w:after="200"/>
        <w:rPr>
          <w:lang w:val="en-US"/>
        </w:rPr>
      </w:pPr>
    </w:p>
    <w:p w:rsidR="00DF038B" w:rsidRPr="00B53046" w:rsidRDefault="006F275C">
      <w:pPr>
        <w:pBdr>
          <w:bottom w:val="single" w:sz="6" w:space="1" w:color="2C5F8A"/>
        </w:pBdr>
        <w:spacing w:before="420" w:after="200"/>
        <w:rPr>
          <w:lang w:val="en-US"/>
        </w:rPr>
      </w:pPr>
      <w:r>
        <w:rPr>
          <w:rFonts w:ascii="Arial" w:eastAsia="Arial" w:hAnsi="Arial" w:cs="Arial"/>
          <w:b/>
          <w:bCs/>
          <w:color w:val="1E3A5F"/>
          <w:sz w:val="28"/>
          <w:szCs w:val="28"/>
          <w:lang w:val="en-US"/>
        </w:rPr>
        <w:t>1. Introduction</w:t>
      </w:r>
    </w:p>
    <w:p w:rsidR="00DF038B" w:rsidRPr="00B53046" w:rsidRDefault="006F275C">
      <w:pPr>
        <w:spacing w:after="160" w:line="360" w:lineRule="auto"/>
        <w:jc w:val="both"/>
        <w:rPr>
          <w:lang w:val="en-US"/>
        </w:rPr>
      </w:pPr>
      <w:r>
        <w:rPr>
          <w:rFonts w:ascii="Arial" w:eastAsia="Arial" w:hAnsi="Arial" w:cs="Arial"/>
          <w:sz w:val="22"/>
          <w:szCs w:val="22"/>
          <w:lang w:val="en-US"/>
        </w:rPr>
        <w:t>Generative AI is producing novel proteins and gene sequences faster than existing biological registries can catalogue, evaluate, or attribute them. Protein language models including ProteinMPNN [1] and RFdiffusion [2], the standalone ESMFold structure predictor [3], and AlphaFold3 [4] now propose functional proteins without evolutionary precedent. Results are scientifically consequential: AI-designed GLP-1 receptor agonists have demonstrated plasma half-lives approximately three times longer than semaglutide in animal models [5], and de novo designed proteins have neutralised lethal snake venom toxins that classical drug discovery had not addressed in decades [6]. The same design capabilities carry dual-use risk. These tools can, without appropriate safeguards, generate sequences that evade biosecurity screening systems deployed by DNA synthesis companies [7]. Automated synthesis platforms have been shown exploitable for AI-guided optimisation of known pathogen virulence [8]. Approximately 76% of surveyed biosecurity experts have expressed concern about AI misuse in biology, and 74% have called for new regulatory frameworks [9]. In direct response to this threat class, the U.S. White House issued an executive order in 2025 specifically requiring strengthened nucleic acid synthesis screening [9].</w:t>
      </w:r>
    </w:p>
    <w:p w:rsidR="00DF038B" w:rsidRPr="00B53046" w:rsidRDefault="006F275C">
      <w:pPr>
        <w:spacing w:after="160" w:line="360" w:lineRule="auto"/>
        <w:jc w:val="both"/>
        <w:rPr>
          <w:lang w:val="en-US"/>
        </w:rPr>
      </w:pPr>
      <w:r>
        <w:rPr>
          <w:rFonts w:ascii="Arial" w:eastAsia="Arial" w:hAnsi="Arial" w:cs="Arial"/>
          <w:sz w:val="22"/>
          <w:szCs w:val="22"/>
          <w:lang w:val="en-US"/>
        </w:rPr>
        <w:t>Three structural problems have emerged simultaneously. First, no standard mechanism exists to distinguish AI-designed sequences from naturally occurring ones in forensic samples, environmental surveillance, or clinical isolates, creating an attribution vacuum in the scientific record. Second, biosafety evaluation is not embedded at the point of sequence design; it occurs, if at all, at the point of synthesis order. Third, creator attribution for AI-generated sequences has no formal infrastructure, generating scientific citation problems and intellectual property ambiguity that will intensify as AI-designed sequence volume increases.</w:t>
      </w:r>
    </w:p>
    <w:p w:rsidR="00DF038B" w:rsidRPr="00B53046" w:rsidRDefault="006F275C">
      <w:pPr>
        <w:spacing w:after="160" w:line="360" w:lineRule="auto"/>
        <w:jc w:val="both"/>
        <w:rPr>
          <w:lang w:val="en-US"/>
        </w:rPr>
      </w:pPr>
      <w:r>
        <w:rPr>
          <w:rFonts w:ascii="Arial" w:eastAsia="Arial" w:hAnsi="Arial" w:cs="Arial"/>
          <w:sz w:val="22"/>
          <w:szCs w:val="22"/>
          <w:lang w:val="en-US"/>
        </w:rPr>
        <w:t>ArtGene-Archive (artgene-archive.org) is a dedicated registry for AI-generated biological sequences that addresses all three problems in a single atomic submission pipeline. Every deposited sequence undergoes a four-gate automated biosafety evaluation, receives a TINSEL spread-spectrum codon watermark, and is issued a cryptographically signed HybridCertificate appended to a tamper-evident hash-chained append-only audit log. The architecture draws on operational experience at the European Genome-phenome Archive (EGA) and is grounded in the emerging AI biosafety literature. This paper describes the design, implementation, and current operational state of the system.</w:t>
      </w:r>
    </w:p>
    <w:p w:rsidR="00DF038B" w:rsidRPr="00B53046" w:rsidRDefault="006F275C">
      <w:pPr>
        <w:pBdr>
          <w:bottom w:val="single" w:sz="6" w:space="1" w:color="2C5F8A"/>
        </w:pBdr>
        <w:spacing w:before="420" w:after="200"/>
        <w:rPr>
          <w:lang w:val="en-US"/>
        </w:rPr>
      </w:pPr>
      <w:r>
        <w:rPr>
          <w:rFonts w:ascii="Arial" w:eastAsia="Arial" w:hAnsi="Arial" w:cs="Arial"/>
          <w:b/>
          <w:bCs/>
          <w:color w:val="1E3A5F"/>
          <w:sz w:val="28"/>
          <w:szCs w:val="28"/>
          <w:lang w:val="en-US"/>
        </w:rPr>
        <w:t>2. Background and Related Work</w:t>
      </w:r>
    </w:p>
    <w:p w:rsidR="00DF038B" w:rsidRPr="00B53046" w:rsidRDefault="006F275C">
      <w:pPr>
        <w:spacing w:before="280" w:after="160"/>
        <w:rPr>
          <w:lang w:val="en-US"/>
        </w:rPr>
      </w:pPr>
      <w:r>
        <w:rPr>
          <w:rFonts w:ascii="Arial" w:eastAsia="Arial" w:hAnsi="Arial" w:cs="Arial"/>
          <w:b/>
          <w:bCs/>
          <w:color w:val="2C5F8A"/>
          <w:lang w:val="en-US"/>
        </w:rPr>
        <w:t>2.1 Existing Sequence Registries</w:t>
      </w:r>
    </w:p>
    <w:p w:rsidR="00DF038B" w:rsidRPr="00B53046" w:rsidRDefault="006F275C">
      <w:pPr>
        <w:spacing w:after="160" w:line="360" w:lineRule="auto"/>
        <w:jc w:val="both"/>
        <w:rPr>
          <w:lang w:val="en-US"/>
        </w:rPr>
      </w:pPr>
      <w:r>
        <w:rPr>
          <w:rFonts w:ascii="Arial" w:eastAsia="Arial" w:hAnsi="Arial" w:cs="Arial"/>
          <w:sz w:val="22"/>
          <w:szCs w:val="22"/>
          <w:lang w:val="en-US"/>
        </w:rPr>
        <w:t>In 1979, Walter Goad established the Los Alamos Sequence Database in response to a specific technological inflection: automated Sanger sequencers were generating nucleotide data faster than any centralised system could organise [10]. The database became GenBank in 1982, co-funded by NIH, NSF, the Department of Energy, and the Department of Defense. By 1983 it held 2,000 sequences; by 2024 it held sequences from 557,000 species, comprising 3.7 billion accession records and 25 trillion base pairs [11, 12]. BLAST (1990) and Entrez (1991), built on this infrastructure, collectively transformed molecular biology [13].</w:t>
      </w:r>
    </w:p>
    <w:p w:rsidR="00CD2E9E" w:rsidRPr="00B53046" w:rsidRDefault="006F275C" w:rsidP="00CD2E9E">
      <w:pPr>
        <w:spacing w:after="160" w:line="360" w:lineRule="auto"/>
        <w:jc w:val="both"/>
        <w:rPr>
          <w:lang w:val="en-US"/>
        </w:rPr>
      </w:pPr>
      <w:r>
        <w:rPr>
          <w:rFonts w:ascii="Arial" w:eastAsia="Arial" w:hAnsi="Arial" w:cs="Arial"/>
          <w:sz w:val="22"/>
          <w:szCs w:val="22"/>
          <w:lang w:val="en-US"/>
        </w:rPr>
        <w:t>The European Genome-phenome Archive (EGA), operated jointly by EMBL-EBI and the Centre for Genomic Regulation (CRG), is the primary repository for human genomic and phenotypic data requiring controlled access under data-protection obligations. The European Nucleotide Archive (ENA, EMBL-EBI) provides open-access nucleotide sequence archival. All three registries share a foundational design assumption: the deposited sequence is a discovered or experimentally produced object. None applies mandatory AI-origin labelling, automated biosafety screening at the point of deposit, codon watermarking, or cryptographically signed creator attribution. These absences reflect the pre-generative-AI design era and are structural rather than incidental. Table 1 summarises the feature comparison across registries.</w:t>
      </w:r>
    </w:p>
    <w:p w:rsidR="00DF038B" w:rsidRPr="00B53046" w:rsidRDefault="006F275C">
      <w:pPr>
        <w:spacing w:before="60" w:after="120"/>
        <w:rPr>
          <w:lang w:val="en-US"/>
        </w:rPr>
      </w:pPr>
      <w:r>
        <w:rPr>
          <w:rFonts w:ascii="Arial" w:eastAsia="Arial" w:hAnsi="Arial" w:cs="Arial"/>
          <w:b/>
          <w:bCs/>
          <w:sz w:val="20"/>
          <w:szCs w:val="20"/>
          <w:lang w:val="en-US"/>
        </w:rPr>
        <w:t>Table 1. Feature comparison of major biological sequence registries.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15"/>
        <w:gridCol w:w="1715"/>
        <w:gridCol w:w="1715"/>
        <w:gridCol w:w="1915"/>
      </w:tblGrid>
      <w:tr w:rsidR="00DF038B">
        <w:trPr>
          <w:tblHeader/>
        </w:trPr>
        <w:tc>
          <w:tcPr>
            <w:tcW w:w="2300" w:type="dxa"/>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vAlign w:val="center"/>
          </w:tcPr>
          <w:p w:rsidR="00DF038B" w:rsidRDefault="006F275C">
            <w:r>
              <w:rPr>
                <w:rFonts w:ascii="Arial" w:eastAsia="Arial" w:hAnsi="Arial" w:cs="Arial"/>
                <w:b/>
                <w:bCs/>
                <w:color w:val="FFFFFF"/>
                <w:sz w:val="20"/>
                <w:szCs w:val="20"/>
              </w:rPr>
              <w:t>Feature</w:t>
            </w:r>
          </w:p>
        </w:tc>
        <w:tc>
          <w:tcPr>
            <w:tcW w:w="1715" w:type="dxa"/>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vAlign w:val="center"/>
          </w:tcPr>
          <w:p w:rsidR="00DF038B" w:rsidRDefault="006F275C">
            <w:r>
              <w:rPr>
                <w:rFonts w:ascii="Arial" w:eastAsia="Arial" w:hAnsi="Arial" w:cs="Arial"/>
                <w:b/>
                <w:bCs/>
                <w:color w:val="FFFFFF"/>
                <w:sz w:val="20"/>
                <w:szCs w:val="20"/>
              </w:rPr>
              <w:t>GenBank (NCBI)</w:t>
            </w:r>
          </w:p>
        </w:tc>
        <w:tc>
          <w:tcPr>
            <w:tcW w:w="1715" w:type="dxa"/>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vAlign w:val="center"/>
          </w:tcPr>
          <w:p w:rsidR="00DF038B" w:rsidRDefault="006F275C">
            <w:r>
              <w:rPr>
                <w:rFonts w:ascii="Arial" w:eastAsia="Arial" w:hAnsi="Arial" w:cs="Arial"/>
                <w:b/>
                <w:bCs/>
                <w:color w:val="FFFFFF"/>
                <w:sz w:val="20"/>
                <w:szCs w:val="20"/>
              </w:rPr>
              <w:t>EGA (EMBL-EBI / CRG)</w:t>
            </w:r>
          </w:p>
        </w:tc>
        <w:tc>
          <w:tcPr>
            <w:tcW w:w="1715" w:type="dxa"/>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vAlign w:val="center"/>
          </w:tcPr>
          <w:p w:rsidR="00DF038B" w:rsidRDefault="006F275C">
            <w:r>
              <w:rPr>
                <w:rFonts w:ascii="Arial" w:eastAsia="Arial" w:hAnsi="Arial" w:cs="Arial"/>
                <w:b/>
                <w:bCs/>
                <w:color w:val="FFFFFF"/>
                <w:sz w:val="20"/>
                <w:szCs w:val="20"/>
              </w:rPr>
              <w:t>ENA (EMBL-EBI)</w:t>
            </w:r>
          </w:p>
        </w:tc>
        <w:tc>
          <w:tcPr>
            <w:tcW w:w="1915" w:type="dxa"/>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vAlign w:val="center"/>
          </w:tcPr>
          <w:p w:rsidR="00DF038B" w:rsidRDefault="006F275C">
            <w:r>
              <w:rPr>
                <w:rFonts w:ascii="Arial" w:eastAsia="Arial" w:hAnsi="Arial" w:cs="Arial"/>
                <w:b/>
                <w:bCs/>
                <w:color w:val="FFFFFF"/>
                <w:sz w:val="20"/>
                <w:szCs w:val="20"/>
              </w:rPr>
              <w:t>ArtGene-Archive</w:t>
            </w:r>
          </w:p>
        </w:tc>
      </w:tr>
      <w:tr w:rsidR="00DF038B">
        <w:tc>
          <w:tcPr>
            <w:tcW w:w="23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Primary data type</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Natural + synthetic sequences</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Human genomic + phenotypic (controlled)</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Natural experimental sequences</w:t>
            </w:r>
          </w:p>
        </w:tc>
        <w:tc>
          <w:tcPr>
            <w:tcW w:w="19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AI-generated sequences only</w:t>
            </w:r>
          </w:p>
        </w:tc>
      </w:tr>
      <w:tr w:rsidR="00DF038B">
        <w:tc>
          <w:tcPr>
            <w:tcW w:w="23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lastRenderedPageBreak/>
              <w:t>AI-origin labelling</w:t>
            </w:r>
          </w:p>
        </w:tc>
        <w:tc>
          <w:tcPr>
            <w:tcW w:w="17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7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7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9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Yes -- required at deposit</w:t>
            </w:r>
          </w:p>
        </w:tc>
      </w:tr>
      <w:tr w:rsidR="00DF038B">
        <w:tc>
          <w:tcPr>
            <w:tcW w:w="23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Automated biosafety screening</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9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Yes -- four-gate pipeline</w:t>
            </w:r>
          </w:p>
        </w:tc>
      </w:tr>
      <w:tr w:rsidR="00DF038B">
        <w:tc>
          <w:tcPr>
            <w:tcW w:w="23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Codon watermarking</w:t>
            </w:r>
          </w:p>
        </w:tc>
        <w:tc>
          <w:tcPr>
            <w:tcW w:w="17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7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7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9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Yes -- TINSEL HMAC-SHA3-256</w:t>
            </w:r>
          </w:p>
        </w:tc>
      </w:tr>
      <w:tr w:rsidR="00DF038B" w:rsidRPr="00CD2E9E">
        <w:tc>
          <w:tcPr>
            <w:tcW w:w="23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Tamper-evident audit log</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Partial</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9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Yes -- SHA3-256 blockchain-style chaining</w:t>
            </w:r>
          </w:p>
        </w:tc>
      </w:tr>
      <w:tr w:rsidR="00DF038B" w:rsidRPr="00CD2E9E">
        <w:tc>
          <w:tcPr>
            <w:tcW w:w="23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 xml:space="preserve">Post-quantum </w:t>
            </w:r>
            <w:proofErr w:type="spellStart"/>
            <w:r>
              <w:rPr>
                <w:rFonts w:ascii="Arial" w:eastAsia="Arial" w:hAnsi="Arial" w:cs="Arial"/>
                <w:sz w:val="20"/>
                <w:szCs w:val="20"/>
              </w:rPr>
              <w:t>signing</w:t>
            </w:r>
            <w:proofErr w:type="spellEnd"/>
          </w:p>
        </w:tc>
        <w:tc>
          <w:tcPr>
            <w:tcW w:w="17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7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7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9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Yes -- WOTS+ live; LWE planned</w:t>
            </w:r>
          </w:p>
        </w:tc>
      </w:tr>
      <w:tr w:rsidR="00DF038B">
        <w:tc>
          <w:tcPr>
            <w:tcW w:w="23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proofErr w:type="spellStart"/>
            <w:r>
              <w:rPr>
                <w:rFonts w:ascii="Arial" w:eastAsia="Arial" w:hAnsi="Arial" w:cs="Arial"/>
                <w:sz w:val="20"/>
                <w:szCs w:val="20"/>
              </w:rPr>
              <w:t>Embargoed</w:t>
            </w:r>
            <w:proofErr w:type="spellEnd"/>
            <w:r>
              <w:rPr>
                <w:rFonts w:ascii="Arial" w:eastAsia="Arial" w:hAnsi="Arial" w:cs="Arial"/>
                <w:sz w:val="20"/>
                <w:szCs w:val="20"/>
              </w:rPr>
              <w:t xml:space="preserve"> </w:t>
            </w:r>
            <w:proofErr w:type="spellStart"/>
            <w:r>
              <w:rPr>
                <w:rFonts w:ascii="Arial" w:eastAsia="Arial" w:hAnsi="Arial" w:cs="Arial"/>
                <w:sz w:val="20"/>
                <w:szCs w:val="20"/>
              </w:rPr>
              <w:t>deposit</w:t>
            </w:r>
            <w:proofErr w:type="spellEnd"/>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Yes</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Yes (controlled access)</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Yes</w:t>
            </w:r>
          </w:p>
        </w:tc>
        <w:tc>
          <w:tcPr>
            <w:tcW w:w="19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Yes</w:t>
            </w:r>
          </w:p>
        </w:tc>
      </w:tr>
      <w:tr w:rsidR="00DF038B">
        <w:tc>
          <w:tcPr>
            <w:tcW w:w="23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Creator attribution cert.</w:t>
            </w:r>
          </w:p>
        </w:tc>
        <w:tc>
          <w:tcPr>
            <w:tcW w:w="17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Accession number only</w:t>
            </w:r>
          </w:p>
        </w:tc>
        <w:tc>
          <w:tcPr>
            <w:tcW w:w="17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No</w:t>
            </w:r>
          </w:p>
        </w:tc>
        <w:tc>
          <w:tcPr>
            <w:tcW w:w="17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Accession number only</w:t>
            </w:r>
          </w:p>
        </w:tc>
        <w:tc>
          <w:tcPr>
            <w:tcW w:w="1915"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Signed HybridCertificate</w:t>
            </w:r>
          </w:p>
        </w:tc>
      </w:tr>
      <w:tr w:rsidR="00DF038B" w:rsidRPr="00CD2E9E">
        <w:tc>
          <w:tcPr>
            <w:tcW w:w="23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Open submission access</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Yes (limited fields)</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Restricted</w:t>
            </w:r>
          </w:p>
        </w:tc>
        <w:tc>
          <w:tcPr>
            <w:tcW w:w="17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Yes</w:t>
            </w:r>
          </w:p>
        </w:tc>
        <w:tc>
          <w:tcPr>
            <w:tcW w:w="1915"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Yes -- free API, open submission</w:t>
            </w:r>
          </w:p>
        </w:tc>
      </w:tr>
    </w:tbl>
    <w:p w:rsidR="00DF038B" w:rsidRPr="00B53046" w:rsidRDefault="00DF038B">
      <w:pPr>
        <w:spacing w:after="160"/>
        <w:rPr>
          <w:lang w:val="en-US"/>
        </w:rPr>
      </w:pPr>
    </w:p>
    <w:p w:rsidR="00DF038B" w:rsidRPr="00B53046" w:rsidRDefault="006F275C">
      <w:pPr>
        <w:spacing w:before="280" w:after="160"/>
        <w:rPr>
          <w:lang w:val="en-US"/>
        </w:rPr>
      </w:pPr>
      <w:r>
        <w:rPr>
          <w:rFonts w:ascii="Arial" w:eastAsia="Arial" w:hAnsi="Arial" w:cs="Arial"/>
          <w:b/>
          <w:bCs/>
          <w:color w:val="2C5F8A"/>
          <w:lang w:val="en-US"/>
        </w:rPr>
        <w:t>2.2 Codon Steganography and Cryptographic Provenance</w:t>
      </w:r>
    </w:p>
    <w:p w:rsidR="00DF038B" w:rsidRPr="00B53046" w:rsidRDefault="006F275C">
      <w:pPr>
        <w:spacing w:after="160" w:line="360" w:lineRule="auto"/>
        <w:jc w:val="both"/>
        <w:rPr>
          <w:lang w:val="en-US"/>
        </w:rPr>
      </w:pPr>
      <w:r>
        <w:rPr>
          <w:rFonts w:ascii="Arial" w:eastAsia="Arial" w:hAnsi="Arial" w:cs="Arial"/>
          <w:sz w:val="22"/>
          <w:szCs w:val="22"/>
          <w:lang w:val="en-US"/>
        </w:rPr>
        <w:t>Liss et al. [14] first demonstrated permanent information embedding in synthetic genes via synonymous codon substitution, leaving the encoded amino acid sequence and protein function unchanged. BioCode [15] extended the concept to both coding and non-coding regions. Berezin et al. [16] reviewed cryptographic approaches to authenticating synthetic DNA sequences, establishing a conceptual framework for registry-level provenance. The TINSEL algorithm described here adds HMAC-SHA3-256 spread-spectrum encoding [17] and Reed-Solomon forward error correction [18] to this lineage, providing robustness against single-base errors introduced by routine re-synthesis or sequencing.</w:t>
      </w:r>
    </w:p>
    <w:p w:rsidR="00DF038B" w:rsidRPr="00B53046" w:rsidRDefault="006F275C">
      <w:pPr>
        <w:spacing w:before="280" w:after="160"/>
        <w:rPr>
          <w:lang w:val="en-US"/>
        </w:rPr>
      </w:pPr>
      <w:r>
        <w:rPr>
          <w:rFonts w:ascii="Arial" w:eastAsia="Arial" w:hAnsi="Arial" w:cs="Arial"/>
          <w:b/>
          <w:bCs/>
          <w:color w:val="2C5F8A"/>
          <w:lang w:val="en-US"/>
        </w:rPr>
        <w:t>2.3 Biosafety Screening Infrastructure</w:t>
      </w:r>
    </w:p>
    <w:p w:rsidR="00DF038B" w:rsidRPr="00B53046" w:rsidRDefault="006F275C">
      <w:pPr>
        <w:spacing w:after="160" w:line="360" w:lineRule="auto"/>
        <w:jc w:val="both"/>
        <w:rPr>
          <w:lang w:val="en-US"/>
        </w:rPr>
      </w:pPr>
      <w:r>
        <w:rPr>
          <w:rFonts w:ascii="Arial" w:eastAsia="Arial" w:hAnsi="Arial" w:cs="Arial"/>
          <w:sz w:val="22"/>
          <w:szCs w:val="22"/>
          <w:lang w:val="en-US"/>
        </w:rPr>
        <w:t xml:space="preserve">SecureDNA's Distributed Oblivious Pseudorandom Function (DOPRF) protocol [19, 20] and the International Biosecurity and Biosafety Initiative for Science (IBBIS) provider screens [21] are the two most widely deployed cryptographic biosecurity screening platforms in the DNA synthesis industry. DOPRF screens sequences for restricted patterns without exposing raw sequence data to external servers, preserving submitter privacy. Sequence-based screening approaches have documented limitations against AI-reformulated synthetic homologs of sequences of concern [25], </w:t>
      </w:r>
      <w:r>
        <w:rPr>
          <w:rFonts w:ascii="Arial" w:eastAsia="Arial" w:hAnsi="Arial" w:cs="Arial"/>
          <w:sz w:val="22"/>
          <w:szCs w:val="22"/>
          <w:lang w:val="en-US"/>
        </w:rPr>
        <w:lastRenderedPageBreak/>
        <w:t>motivating the composition-based and ecological risk layers within the ArtGene-Archive pipeline as complementary screens.</w:t>
      </w:r>
    </w:p>
    <w:p w:rsidR="00DF038B" w:rsidRPr="00B53046" w:rsidRDefault="006F275C">
      <w:pPr>
        <w:pBdr>
          <w:bottom w:val="single" w:sz="6" w:space="1" w:color="2C5F8A"/>
        </w:pBdr>
        <w:spacing w:before="420" w:after="200"/>
        <w:rPr>
          <w:lang w:val="en-US"/>
        </w:rPr>
      </w:pPr>
      <w:r>
        <w:rPr>
          <w:rFonts w:ascii="Arial" w:eastAsia="Arial" w:hAnsi="Arial" w:cs="Arial"/>
          <w:b/>
          <w:bCs/>
          <w:color w:val="1E3A5F"/>
          <w:sz w:val="28"/>
          <w:szCs w:val="28"/>
          <w:lang w:val="en-US"/>
        </w:rPr>
        <w:t>3. System Architecture and Methods</w:t>
      </w:r>
    </w:p>
    <w:p w:rsidR="00DF038B" w:rsidRPr="00B53046" w:rsidRDefault="006F275C">
      <w:pPr>
        <w:spacing w:before="280" w:after="160"/>
        <w:rPr>
          <w:lang w:val="en-US"/>
        </w:rPr>
      </w:pPr>
      <w:r>
        <w:rPr>
          <w:rFonts w:ascii="Arial" w:eastAsia="Arial" w:hAnsi="Arial" w:cs="Arial"/>
          <w:b/>
          <w:bCs/>
          <w:color w:val="2C5F8A"/>
          <w:lang w:val="en-US"/>
        </w:rPr>
        <w:t>3.1 Implementation Overview</w:t>
      </w:r>
    </w:p>
    <w:p w:rsidR="00DF038B" w:rsidRPr="00B53046" w:rsidRDefault="006F275C">
      <w:pPr>
        <w:spacing w:after="160" w:line="360" w:lineRule="auto"/>
        <w:jc w:val="both"/>
        <w:rPr>
          <w:lang w:val="en-US"/>
        </w:rPr>
      </w:pPr>
      <w:r>
        <w:rPr>
          <w:rFonts w:ascii="Arial" w:eastAsia="Arial" w:hAnsi="Arial" w:cs="Arial"/>
          <w:sz w:val="22"/>
          <w:szCs w:val="22"/>
          <w:lang w:val="en-US"/>
        </w:rPr>
        <w:t>ArtGene-Archive is implemented as a Python/TypeScript monorepo. Three backend packages handle distinct concerns. tinsel-core contains data models, the TINSEL encoder and decoder, and the Reed-Solomon codec. tinsel-gates implements the four-gate biosafety pipeline with a live ESMFold adapter (Gate alpha), an offline composition heuristic layer (Gates beta and gamma), and mock stubs for SecureDNA DOPRF and IBBIS pending credential integration. tinsel-api is a FastAPI application with PostgreSQL persistence, Alembic migrations, and WOTS+ signing. A Next.js 16 dashboard provides the submission and certificate-browsing interface. The full stack runs locally with a single docker compose up --build command, with no external services required in development mode. Production adapters replace mocked implementations when SENTINEL_ENV=production is set.</w:t>
      </w:r>
    </w:p>
    <w:p w:rsidR="00DF038B" w:rsidRPr="00B53046" w:rsidRDefault="006F275C">
      <w:pPr>
        <w:spacing w:after="160" w:line="360" w:lineRule="auto"/>
        <w:jc w:val="both"/>
        <w:rPr>
          <w:lang w:val="en-US"/>
        </w:rPr>
      </w:pPr>
      <w:r>
        <w:rPr>
          <w:rFonts w:ascii="Arial" w:eastAsia="Arial" w:hAnsi="Arial" w:cs="Arial"/>
          <w:sz w:val="22"/>
          <w:szCs w:val="22"/>
          <w:lang w:val="en-US"/>
        </w:rPr>
        <w:t>In the current implementation, the pipeline is optimised for amino acid sequences. DNA and RNA sequence optimisation within the FASTA parser is under active development.</w:t>
      </w:r>
    </w:p>
    <w:p w:rsidR="00DF038B" w:rsidRPr="00B53046" w:rsidRDefault="006F275C">
      <w:pPr>
        <w:spacing w:before="280" w:after="160"/>
        <w:rPr>
          <w:lang w:val="en-US"/>
        </w:rPr>
      </w:pPr>
      <w:r>
        <w:rPr>
          <w:rFonts w:ascii="Arial" w:eastAsia="Arial" w:hAnsi="Arial" w:cs="Arial"/>
          <w:b/>
          <w:bCs/>
          <w:color w:val="2C5F8A"/>
          <w:lang w:val="en-US"/>
        </w:rPr>
        <w:t>3.2 Registration Pipeline</w:t>
      </w:r>
    </w:p>
    <w:p w:rsidR="001C45D5" w:rsidRDefault="006F275C">
      <w:pPr>
        <w:spacing w:after="160" w:line="360" w:lineRule="auto"/>
        <w:jc w:val="both"/>
        <w:rPr>
          <w:lang w:val="en-US"/>
        </w:rPr>
      </w:pPr>
      <w:r>
        <w:rPr>
          <w:rFonts w:ascii="Arial" w:eastAsia="Arial" w:hAnsi="Arial" w:cs="Arial"/>
          <w:sz w:val="22"/>
          <w:szCs w:val="22"/>
          <w:lang w:val="en-US"/>
        </w:rPr>
        <w:t>Every submission follows a fixed execution order (Figure 1). FASTA input is parsed and normalised; a fragment-assembly cross-check then screens the sequence against an SHA3-256 k-mer index of all archived sequences. Gate alpha is the sole fail-fast gate: a failure terminates the pipeline immediately, bypassing Gates beta and gamma. Once Gate alpha passes, Gates beta and gamma run concurrently. If all active gates pass, a SHA3-256 deduplication check prevents re-registration of identical sequences. A WOTS+ certificate is signed and written together with the audit log entry in a single atomic database transaction, preventing partial registration states.</w:t>
      </w:r>
    </w:p>
    <w:p w:rsidR="001C45D5" w:rsidRPr="00B53046" w:rsidRDefault="001C45D5">
      <w:pPr>
        <w:spacing w:after="160" w:line="360" w:lineRule="auto"/>
        <w:jc w:val="both"/>
        <w:rPr>
          <w:lang w:val="en-US"/>
        </w:rPr>
      </w:pPr>
      <w:r>
        <w:rPr>
          <w:lang w:val="en-US"/>
        </w:rPr>
        <w:lastRenderedPageBreak/>
        <w:br/>
      </w:r>
      <w:r>
        <w:rPr>
          <w:noProof/>
          <w:lang w:val="en-US"/>
        </w:rPr>
        <w:drawing>
          <wp:inline distT="0" distB="0" distL="0" distR="0">
            <wp:extent cx="5943600" cy="3910330"/>
            <wp:effectExtent l="0" t="0" r="0" b="127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tgene_graphical_abstract.svg"/>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5943600" cy="3910330"/>
                    </a:xfrm>
                    <a:prstGeom prst="rect">
                      <a:avLst/>
                    </a:prstGeom>
                  </pic:spPr>
                </pic:pic>
              </a:graphicData>
            </a:graphic>
          </wp:inline>
        </w:drawing>
      </w:r>
      <w:r>
        <w:rPr>
          <w:lang w:val="en-US"/>
        </w:rPr>
        <w:br/>
      </w:r>
      <w:r>
        <w:rPr>
          <w:sz w:val="21"/>
          <w:lang w:val="en-US"/>
        </w:rPr>
        <w:t xml:space="preserve">Figure 1: </w:t>
      </w:r>
      <w:r>
        <w:rPr>
          <w:rFonts w:ascii="Arial" w:eastAsia="Arial" w:hAnsi="Arial" w:cs="Arial"/>
          <w:i/>
          <w:iCs/>
          <w:color w:val="666666"/>
          <w:sz w:val="18"/>
          <w:szCs w:val="20"/>
          <w:lang w:val="en-US"/>
        </w:rPr>
        <w:t>ArtGene-Archive registration pipeline diagram.</w:t>
      </w:r>
      <w:r>
        <w:rPr>
          <w:i/>
          <w:iCs/>
          <w:color w:val="666666"/>
          <w:sz w:val="18"/>
          <w:szCs w:val="20"/>
          <w:lang w:val="en-US"/>
        </w:rPr>
        <w:t xml:space="preserve"> </w:t>
      </w:r>
      <w:r>
        <w:rPr>
          <w:rFonts w:ascii="Arial" w:eastAsia="Arial" w:hAnsi="Arial" w:cs="Arial"/>
          <w:i/>
          <w:iCs/>
          <w:color w:val="666666"/>
          <w:sz w:val="18"/>
          <w:szCs w:val="20"/>
          <w:lang w:val="en-US"/>
        </w:rPr>
        <w:t xml:space="preserve">Gate </w:t>
      </w:r>
      <w:r>
        <w:rPr>
          <w:i/>
          <w:iCs/>
          <w:color w:val="666666"/>
          <w:sz w:val="18"/>
          <w:szCs w:val="20"/>
          <w:lang w:val="en-US"/>
        </w:rPr>
        <w:t>1 (</w:t>
      </w:r>
      <w:r>
        <w:rPr>
          <w:rFonts w:ascii="Arial" w:eastAsia="Arial" w:hAnsi="Arial" w:cs="Arial"/>
          <w:i/>
          <w:iCs/>
          <w:color w:val="666666"/>
          <w:sz w:val="18"/>
          <w:szCs w:val="20"/>
          <w:lang w:val="en-US"/>
        </w:rPr>
        <w:t>alpha</w:t>
      </w:r>
      <w:r>
        <w:rPr>
          <w:i/>
          <w:iCs/>
          <w:color w:val="666666"/>
          <w:sz w:val="18"/>
          <w:szCs w:val="20"/>
          <w:lang w:val="en-US"/>
        </w:rPr>
        <w:t>)</w:t>
      </w:r>
      <w:r>
        <w:rPr>
          <w:rFonts w:ascii="Arial" w:eastAsia="Arial" w:hAnsi="Arial" w:cs="Arial"/>
          <w:i/>
          <w:iCs/>
          <w:color w:val="666666"/>
          <w:sz w:val="18"/>
          <w:szCs w:val="20"/>
          <w:lang w:val="en-US"/>
        </w:rPr>
        <w:t xml:space="preserve"> is fail-fast; Gates</w:t>
      </w:r>
      <w:r>
        <w:rPr>
          <w:i/>
          <w:iCs/>
          <w:color w:val="666666"/>
          <w:sz w:val="18"/>
          <w:szCs w:val="20"/>
          <w:lang w:val="en-US"/>
        </w:rPr>
        <w:t xml:space="preserve"> G2, G3 and G4</w:t>
      </w:r>
      <w:r>
        <w:rPr>
          <w:rFonts w:ascii="Arial" w:eastAsia="Arial" w:hAnsi="Arial" w:cs="Arial"/>
          <w:i/>
          <w:iCs/>
          <w:color w:val="666666"/>
          <w:sz w:val="18"/>
          <w:szCs w:val="20"/>
          <w:lang w:val="en-US"/>
        </w:rPr>
        <w:t xml:space="preserve"> </w:t>
      </w:r>
      <w:r>
        <w:rPr>
          <w:i/>
          <w:iCs/>
          <w:color w:val="666666"/>
          <w:sz w:val="18"/>
          <w:szCs w:val="20"/>
          <w:lang w:val="en-US"/>
        </w:rPr>
        <w:t>(</w:t>
      </w:r>
      <w:r>
        <w:rPr>
          <w:rFonts w:ascii="Arial" w:eastAsia="Arial" w:hAnsi="Arial" w:cs="Arial"/>
          <w:i/>
          <w:iCs/>
          <w:color w:val="666666"/>
          <w:sz w:val="18"/>
          <w:szCs w:val="20"/>
          <w:lang w:val="en-US"/>
        </w:rPr>
        <w:t>beta</w:t>
      </w:r>
      <w:r>
        <w:rPr>
          <w:i/>
          <w:iCs/>
          <w:color w:val="666666"/>
          <w:sz w:val="18"/>
          <w:szCs w:val="20"/>
          <w:lang w:val="en-US"/>
        </w:rPr>
        <w:t xml:space="preserve">, </w:t>
      </w:r>
      <w:r>
        <w:rPr>
          <w:rFonts w:ascii="Arial" w:eastAsia="Arial" w:hAnsi="Arial" w:cs="Arial"/>
          <w:i/>
          <w:iCs/>
          <w:color w:val="666666"/>
          <w:sz w:val="18"/>
          <w:szCs w:val="20"/>
          <w:lang w:val="en-US"/>
        </w:rPr>
        <w:t xml:space="preserve"> gamma </w:t>
      </w:r>
      <w:r>
        <w:rPr>
          <w:i/>
          <w:iCs/>
          <w:color w:val="666666"/>
          <w:sz w:val="18"/>
          <w:szCs w:val="20"/>
          <w:lang w:val="en-US"/>
        </w:rPr>
        <w:t xml:space="preserve">and delta) </w:t>
      </w:r>
      <w:r>
        <w:rPr>
          <w:rFonts w:ascii="Arial" w:eastAsia="Arial" w:hAnsi="Arial" w:cs="Arial"/>
          <w:i/>
          <w:iCs/>
          <w:color w:val="666666"/>
          <w:sz w:val="18"/>
          <w:szCs w:val="20"/>
          <w:lang w:val="en-US"/>
        </w:rPr>
        <w:t>run concurrently once alpha passes. Gate</w:t>
      </w:r>
      <w:r>
        <w:rPr>
          <w:i/>
          <w:iCs/>
          <w:color w:val="666666"/>
          <w:sz w:val="18"/>
          <w:szCs w:val="20"/>
          <w:lang w:val="en-US"/>
        </w:rPr>
        <w:t xml:space="preserve"> 4</w:t>
      </w:r>
      <w:r>
        <w:rPr>
          <w:rFonts w:ascii="Arial" w:eastAsia="Arial" w:hAnsi="Arial" w:cs="Arial"/>
          <w:i/>
          <w:iCs/>
          <w:color w:val="666666"/>
          <w:sz w:val="18"/>
          <w:szCs w:val="20"/>
          <w:lang w:val="en-US"/>
        </w:rPr>
        <w:t xml:space="preserve"> (embedding fingerprint) is under active development. All steps </w:t>
      </w:r>
      <w:r>
        <w:rPr>
          <w:i/>
          <w:iCs/>
          <w:color w:val="666666"/>
          <w:sz w:val="18"/>
          <w:szCs w:val="20"/>
          <w:lang w:val="en-US"/>
        </w:rPr>
        <w:t xml:space="preserve">after gate checks </w:t>
      </w:r>
      <w:r>
        <w:rPr>
          <w:rFonts w:ascii="Arial" w:eastAsia="Arial" w:hAnsi="Arial" w:cs="Arial"/>
          <w:i/>
          <w:iCs/>
          <w:color w:val="666666"/>
          <w:sz w:val="18"/>
          <w:szCs w:val="20"/>
          <w:lang w:val="en-US"/>
        </w:rPr>
        <w:t>execute in a single atomic database transaction</w:t>
      </w:r>
      <w:r>
        <w:rPr>
          <w:i/>
          <w:iCs/>
          <w:color w:val="666666"/>
          <w:sz w:val="18"/>
          <w:szCs w:val="20"/>
          <w:lang w:val="en-US"/>
        </w:rPr>
        <w:t xml:space="preserve"> to issue a certificate for the submitted sequence</w:t>
      </w:r>
      <w:r>
        <w:rPr>
          <w:rFonts w:ascii="Arial" w:eastAsia="Arial" w:hAnsi="Arial" w:cs="Arial"/>
          <w:i/>
          <w:iCs/>
          <w:color w:val="666666"/>
          <w:sz w:val="18"/>
          <w:szCs w:val="20"/>
          <w:lang w:val="en-US"/>
        </w:rPr>
        <w:t>.</w:t>
      </w:r>
    </w:p>
    <w:p w:rsidR="00DF038B" w:rsidRPr="00B53046" w:rsidRDefault="006F275C">
      <w:pPr>
        <w:spacing w:before="280" w:after="160"/>
        <w:rPr>
          <w:lang w:val="en-US"/>
        </w:rPr>
      </w:pPr>
      <w:r>
        <w:rPr>
          <w:rFonts w:ascii="Arial" w:eastAsia="Arial" w:hAnsi="Arial" w:cs="Arial"/>
          <w:b/>
          <w:bCs/>
          <w:color w:val="2C5F8A"/>
          <w:lang w:val="en-US"/>
        </w:rPr>
        <w:t>3.3 Biosafety Gates</w:t>
      </w:r>
    </w:p>
    <w:p w:rsidR="00DF038B" w:rsidRPr="00B53046" w:rsidRDefault="006F275C">
      <w:pPr>
        <w:spacing w:after="160" w:line="360" w:lineRule="auto"/>
        <w:jc w:val="both"/>
        <w:rPr>
          <w:lang w:val="en-US"/>
        </w:rPr>
      </w:pPr>
      <w:r>
        <w:rPr>
          <w:rFonts w:ascii="Arial" w:eastAsia="Arial" w:hAnsi="Arial" w:cs="Arial"/>
          <w:b/>
          <w:bCs/>
          <w:sz w:val="22"/>
          <w:szCs w:val="22"/>
          <w:lang w:val="en-US"/>
        </w:rPr>
        <w:t xml:space="preserve">Gate alpha (Structural Confidence).  </w:t>
      </w:r>
      <w:r>
        <w:rPr>
          <w:rFonts w:ascii="Arial" w:eastAsia="Arial" w:hAnsi="Arial" w:cs="Arial"/>
          <w:sz w:val="22"/>
          <w:szCs w:val="22"/>
          <w:lang w:val="en-US"/>
        </w:rPr>
        <w:t>ESMFold pLDDT scores [3] are the primary filter. Sequences in which more than 20% of residues fall below pLDDT 50 fail this gate. The 20% threshold was set conservatively to identify structurally implausible sequences without penalising inherently disordered proteins that retain biological relevance. RNA minimum free energy (</w:t>
      </w:r>
      <w:r>
        <w:rPr>
          <w:rFonts w:ascii="Arial" w:eastAsia="Arial" w:hAnsi="Arial" w:cs="Arial"/>
          <w:sz w:val="22"/>
          <w:szCs w:val="22"/>
        </w:rPr>
        <w:t>Δ</w:t>
      </w:r>
      <w:r>
        <w:rPr>
          <w:rFonts w:ascii="Arial" w:eastAsia="Arial" w:hAnsi="Arial" w:cs="Arial"/>
          <w:sz w:val="22"/>
          <w:szCs w:val="22"/>
          <w:lang w:val="en-US"/>
        </w:rPr>
        <w:t>MFE) is assessed in parallel via LinearFold [22]. Fail-fast design was chosen because structural invalidity is the strongest single predictor that a sequence constitutes computational noise rather than a viable design.</w:t>
      </w:r>
    </w:p>
    <w:p w:rsidR="00DF038B" w:rsidRPr="00B53046" w:rsidRDefault="006F275C">
      <w:pPr>
        <w:spacing w:after="160" w:line="360" w:lineRule="auto"/>
        <w:jc w:val="both"/>
        <w:rPr>
          <w:lang w:val="en-US"/>
        </w:rPr>
      </w:pPr>
      <w:r>
        <w:rPr>
          <w:rFonts w:ascii="Arial" w:eastAsia="Arial" w:hAnsi="Arial" w:cs="Arial"/>
          <w:b/>
          <w:bCs/>
          <w:sz w:val="22"/>
          <w:szCs w:val="22"/>
          <w:lang w:val="en-US"/>
        </w:rPr>
        <w:t>Gate beta (Off-Target and Composition Screen).  Amino acid composition is evaluated for Kyte-Doolittle hydropathy (GRAVY score), cationic and amphipathic toxin probability, allergen probability, and exact or near-exact matching against 15 manually curated 9-mer antimicrobial peptide motifs. The current implementation uses a custom composition heuristic (screening_method: composition_heuristic_v1) that runs entirely offline without external tool calls. Decision thresholds: toxin probability ≥ 0.30 FAIL; allergen probability ≥ 0.40 FAIL, ≥ 0.30 WARN; any k-mer match FAIL. Integration with SecureDNA DOPRF [19, 20] and the IBBIS provider screen [21] is planned for Phase 3; full BLAST screening against pathogen databases is under development.</w:t>
      </w:r>
      <w:r>
        <w:rPr>
          <w:rFonts w:ascii="Arial" w:eastAsia="Arial" w:hAnsi="Arial" w:cs="Arial"/>
          <w:sz w:val="22"/>
          <w:szCs w:val="22"/>
          <w:lang w:val="en-US"/>
        </w:rPr>
      </w:r>
      <w:r>
        <w:rPr>
          <w:rFonts w:ascii="Arial" w:eastAsia="Arial" w:hAnsi="Arial" w:cs="Arial"/>
          <w:sz w:val="22"/>
          <w:szCs w:val="22"/>
          <w:lang w:val="en-US"/>
        </w:rPr>
      </w:r>
    </w:p>
    <w:p w:rsidR="00DF038B" w:rsidRPr="00B53046" w:rsidRDefault="006F275C">
      <w:pPr>
        <w:spacing w:after="160" w:line="360" w:lineRule="auto"/>
        <w:jc w:val="both"/>
        <w:rPr>
          <w:lang w:val="en-US"/>
        </w:rPr>
      </w:pPr>
      <w:r>
        <w:rPr>
          <w:rFonts w:ascii="Arial" w:eastAsia="Arial" w:hAnsi="Arial" w:cs="Arial"/>
          <w:b/>
          <w:bCs/>
          <w:sz w:val="22"/>
          <w:szCs w:val="22"/>
          <w:lang w:val="en-US"/>
        </w:rPr>
        <w:t>Gate gamma (Ecological Risk).  Horizontal gene transfer (HGT) propensity scoring draws on codon usage patterns, GC content, and host-organism compatibility supplied at submission. The Codon Adaptation Index (CAI) is computed using the method of Sharp and Li (1987) with embedded host-specific relative synonymous codon usage (RSCU) tables for six hosts (E. coli, human, yeast, CHO, insect, plant). The HGT score is a custom composite metric on a 0–100 scale: hgt_score = 0.35 × GC_component + 0.45 × CAI_component + 0.20 × extreme_GC_penalty; FAIL threshold: hgt_score ≥ 50. Escape probability ≥ 0.15 triggers a WARN. This gate captures sequences optimised aggressively for microbial expression that carry elevated HGT propensity independently of direct toxicity, an ecological risk class not addressed by composition-based screens alone.</w:t>
      </w:r>
      <w:r>
        <w:rPr>
          <w:rFonts w:ascii="Arial" w:eastAsia="Arial" w:hAnsi="Arial" w:cs="Arial"/>
          <w:sz w:val="22"/>
          <w:szCs w:val="22"/>
          <w:lang w:val="en-US"/>
        </w:rPr>
      </w:r>
    </w:p>
    <w:p w:rsidR="00DF038B" w:rsidRPr="00B53046" w:rsidRDefault="006F275C">
      <w:pPr>
        <w:spacing w:after="160" w:line="360" w:lineRule="auto"/>
        <w:jc w:val="both"/>
        <w:rPr>
          <w:lang w:val="en-US"/>
        </w:rPr>
      </w:pPr>
      <w:r>
        <w:rPr>
          <w:rFonts w:ascii="Arial" w:eastAsia="Arial" w:hAnsi="Arial" w:cs="Arial"/>
          <w:b/>
          <w:bCs/>
          <w:sz w:val="22"/>
          <w:szCs w:val="22"/>
          <w:lang w:val="en-US"/>
        </w:rPr>
        <w:t xml:space="preserve">Gate delta (Embedding Fingerprint).  </w:t>
      </w:r>
      <w:r>
        <w:rPr>
          <w:rFonts w:ascii="Arial" w:eastAsia="Arial" w:hAnsi="Arial" w:cs="Arial"/>
          <w:sz w:val="22"/>
          <w:szCs w:val="22"/>
          <w:lang w:val="en-US"/>
        </w:rPr>
        <w:t>This gate is under active development and will verify the integrity of the embedded TINSEL watermark prior to certificate issuance.</w:t>
      </w:r>
    </w:p>
    <w:p w:rsidR="00DF038B" w:rsidRPr="00B53046" w:rsidRDefault="006F275C">
      <w:pPr>
        <w:spacing w:after="160" w:line="360" w:lineRule="auto"/>
        <w:jc w:val="both"/>
        <w:rPr>
          <w:lang w:val="en-US"/>
        </w:rPr>
      </w:pPr>
      <w:r>
        <w:rPr>
          <w:rFonts w:ascii="Arial" w:eastAsia="Arial" w:hAnsi="Arial" w:cs="Arial"/>
          <w:sz w:val="22"/>
          <w:szCs w:val="22"/>
          <w:lang w:val="en-US"/>
        </w:rPr>
        <w:t>When any gate fails, the API returns a structured consequence report identifying the gate, the failing metric, the observed value, and the decision threshold, enabling iterative design improvement rather than opaque rejection.</w:t>
      </w:r>
    </w:p>
    <w:p w:rsidR="00DF038B" w:rsidRPr="00B53046" w:rsidRDefault="006F275C">
      <w:pPr>
        <w:spacing w:before="280" w:after="160"/>
        <w:rPr>
          <w:lang w:val="en-US"/>
        </w:rPr>
      </w:pPr>
      <w:r>
        <w:rPr>
          <w:rFonts w:ascii="Arial" w:eastAsia="Arial" w:hAnsi="Arial" w:cs="Arial"/>
          <w:b/>
          <w:bCs/>
          <w:color w:val="2C5F8A"/>
          <w:lang w:val="en-US"/>
        </w:rPr>
        <w:t>3.4 TINSEL Watermark</w:t>
      </w:r>
    </w:p>
    <w:p w:rsidR="00DF038B" w:rsidRPr="00B53046" w:rsidRDefault="006F275C">
      <w:pPr>
        <w:spacing w:after="160" w:line="360" w:lineRule="auto"/>
        <w:jc w:val="both"/>
        <w:rPr>
          <w:lang w:val="en-US"/>
        </w:rPr>
      </w:pPr>
      <w:r>
        <w:rPr>
          <w:rFonts w:ascii="Arial" w:eastAsia="Arial" w:hAnsi="Arial" w:cs="Arial"/>
          <w:sz w:val="22"/>
          <w:szCs w:val="22"/>
          <w:lang w:val="en-US"/>
        </w:rPr>
        <w:t>The TINSEL (Traceable INtegrated Sequence ELement) watermark provides per-recipient provenance tracing via distributed codon steganography. TINSEL embeds a cryptographic signature exclusively through synonymous codon substitutions, leaving the encoded protein sequence and function biologically unchanged [14, 15]. Watermark bits are distributed across carrier codon positions using a pseudorandom spreading code generated in counter-mode HMAC-SHA3-256 [17]: each carrier codon carries exactly one payload bit XOR'd with one pseudorandom chip derived from the spreading key and a context label, giving a spreading factor of 1 chip per carrier codon. The total watermark capacity equals the number of synonymous carrier positions in the coding sequence. Reed-Solomon forward error correction [18] is applied to provide robustness against single-base errors from routine re-synthesis or sequencing. The term 'spread-spectrum' is used here by analogy with the telecommunications technique; the precise mechanism is distributed pseudorandom codon selection rather than frequency-domain spreading.</w:t>
      </w:r>
    </w:p>
    <w:p w:rsidR="00DF038B" w:rsidRPr="00B53046" w:rsidRDefault="006F275C" w:rsidP="00CD2E9E">
      <w:pPr>
        <w:spacing w:after="160" w:line="360" w:lineRule="auto"/>
        <w:jc w:val="both"/>
        <w:rPr>
          <w:lang w:val="en-US"/>
        </w:rPr>
      </w:pPr>
      <w:r>
        <w:rPr>
          <w:rFonts w:ascii="Arial" w:eastAsia="Arial" w:hAnsi="Arial" w:cs="Arial"/>
          <w:sz w:val="22"/>
          <w:szCs w:val="22"/>
          <w:lang w:val="en-US"/>
        </w:rPr>
        <w:t>When a researcher issues a distribution copy, a unique HMAC-SHA3-256-derived seed generates a recipient-specific codon pattern. If an unauthorised copy appears, the Verify Source tool identifies the originating recipient by replaying the fingerprint encoding for every issued copy, without requiring any metadata in the submitted sequence. Watermark tier is assigned automatically from the number of synonymous carrier codons available in the sequence (Table 2). Sequences with fewer than 24 carrier codons cannot carry a detectable watermark and are rejected from watermarking.</w:t>
      </w:r>
    </w:p>
    <w:p w:rsidR="00DF038B" w:rsidRPr="00B53046" w:rsidRDefault="006F275C">
      <w:pPr>
        <w:spacing w:before="60" w:after="120"/>
        <w:rPr>
          <w:lang w:val="en-US"/>
        </w:rPr>
      </w:pPr>
      <w:r>
        <w:rPr>
          <w:rFonts w:ascii="Arial" w:eastAsia="Arial" w:hAnsi="Arial" w:cs="Arial"/>
          <w:b/>
          <w:bCs/>
          <w:sz w:val="20"/>
          <w:szCs w:val="20"/>
          <w:lang w:val="en-US"/>
        </w:rPr>
        <w:t>Table 2. TINSEL watermark tiers, assigned automatically from the number of synonymous carrier codons. Shorter sequences receive weaker watermarks; sequences below REJECTED cannot carry a detectable watermark.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1652"/>
        <w:gridCol w:w="1664"/>
        <w:gridCol w:w="2340"/>
        <w:gridCol w:w="2363"/>
      </w:tblGrid>
      <w:tr w:rsidR="00DF038B">
        <w:trPr>
          <w:tblHeader/>
        </w:trPr>
        <w:tc>
          <w:tcPr>
            <w:tcW w:w="1200" w:type="dxa"/>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vAlign w:val="center"/>
          </w:tcPr>
          <w:p w:rsidR="00DF038B" w:rsidRDefault="006F275C">
            <w:r>
              <w:rPr>
                <w:rFonts w:ascii="Arial" w:eastAsia="Arial" w:hAnsi="Arial" w:cs="Arial"/>
                <w:b/>
                <w:bCs/>
                <w:color w:val="FFFFFF"/>
                <w:sz w:val="20"/>
                <w:szCs w:val="20"/>
              </w:rPr>
              <w:t>Tier</w:t>
            </w:r>
          </w:p>
        </w:tc>
        <w:tc>
          <w:tcPr>
            <w:tcW w:w="1680" w:type="dxa"/>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vAlign w:val="center"/>
          </w:tcPr>
          <w:p w:rsidR="00DF038B" w:rsidRDefault="006F275C">
            <w:r>
              <w:rPr>
                <w:rFonts w:ascii="Arial" w:eastAsia="Arial" w:hAnsi="Arial" w:cs="Arial"/>
                <w:b/>
                <w:bCs/>
                <w:color w:val="FFFFFF"/>
                <w:sz w:val="20"/>
                <w:szCs w:val="20"/>
              </w:rPr>
              <w:t>Min Carrier Codons</w:t>
            </w:r>
          </w:p>
        </w:tc>
        <w:tc>
          <w:tcPr>
            <w:tcW w:w="1680" w:type="dxa"/>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vAlign w:val="center"/>
          </w:tcPr>
          <w:p w:rsidR="00DF038B" w:rsidRDefault="006F275C">
            <w:r>
              <w:rPr>
                <w:rFonts w:ascii="Arial" w:eastAsia="Arial" w:hAnsi="Arial" w:cs="Arial"/>
                <w:b/>
                <w:bCs/>
                <w:color w:val="FFFFFF"/>
                <w:sz w:val="20"/>
                <w:szCs w:val="20"/>
              </w:rPr>
              <w:t>Watermark Bits</w:t>
            </w:r>
          </w:p>
        </w:tc>
        <w:tc>
          <w:tcPr>
            <w:tcW w:w="2400" w:type="dxa"/>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vAlign w:val="center"/>
          </w:tcPr>
          <w:p w:rsidR="00DF038B" w:rsidRDefault="006F275C">
            <w:r>
              <w:rPr>
                <w:rFonts w:ascii="Arial" w:eastAsia="Arial" w:hAnsi="Arial" w:cs="Arial"/>
                <w:b/>
                <w:bCs/>
                <w:color w:val="FFFFFF"/>
                <w:sz w:val="20"/>
                <w:szCs w:val="20"/>
              </w:rPr>
              <w:t>RS Codec</w:t>
            </w:r>
          </w:p>
        </w:tc>
        <w:tc>
          <w:tcPr>
            <w:tcW w:w="2400" w:type="dxa"/>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vAlign w:val="center"/>
          </w:tcPr>
          <w:p w:rsidR="00DF038B" w:rsidRDefault="006F275C">
            <w:r>
              <w:rPr>
                <w:rFonts w:ascii="Arial" w:eastAsia="Arial" w:hAnsi="Arial" w:cs="Arial"/>
                <w:b/>
                <w:bCs/>
                <w:color w:val="FFFFFF"/>
                <w:sz w:val="20"/>
                <w:szCs w:val="20"/>
              </w:rPr>
              <w:t>Error Tolerance</w:t>
            </w:r>
          </w:p>
        </w:tc>
      </w:tr>
      <w:tr w:rsidR="00DF038B">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FULL</w:t>
            </w:r>
          </w:p>
        </w:tc>
        <w:tc>
          <w:tcPr>
            <w:tcW w:w="16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1,792</w:t>
            </w:r>
          </w:p>
        </w:tc>
        <w:tc>
          <w:tcPr>
            <w:tcW w:w="16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128-bit</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(32, 16)</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8 bytes</w:t>
            </w:r>
          </w:p>
        </w:tc>
      </w:tr>
      <w:tr w:rsidR="00DF038B">
        <w:tc>
          <w:tcPr>
            <w:tcW w:w="1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lastRenderedPageBreak/>
              <w:t>STANDARD</w:t>
            </w:r>
          </w:p>
        </w:tc>
        <w:tc>
          <w:tcPr>
            <w:tcW w:w="168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896</w:t>
            </w:r>
          </w:p>
        </w:tc>
        <w:tc>
          <w:tcPr>
            <w:tcW w:w="168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64-bit</w:t>
            </w:r>
          </w:p>
        </w:tc>
        <w:tc>
          <w:tcPr>
            <w:tcW w:w="24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(16, 8)</w:t>
            </w:r>
          </w:p>
        </w:tc>
        <w:tc>
          <w:tcPr>
            <w:tcW w:w="24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4 bytes</w:t>
            </w:r>
          </w:p>
        </w:tc>
      </w:tr>
      <w:tr w:rsidR="00DF038B">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REDUCED</w:t>
            </w:r>
          </w:p>
        </w:tc>
        <w:tc>
          <w:tcPr>
            <w:tcW w:w="16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320</w:t>
            </w:r>
          </w:p>
        </w:tc>
        <w:tc>
          <w:tcPr>
            <w:tcW w:w="16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32-bit</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(8, 4)</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2 bytes</w:t>
            </w:r>
          </w:p>
        </w:tc>
      </w:tr>
      <w:tr w:rsidR="00DF038B">
        <w:tc>
          <w:tcPr>
            <w:tcW w:w="1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MINIMAL</w:t>
            </w:r>
          </w:p>
        </w:tc>
        <w:tc>
          <w:tcPr>
            <w:tcW w:w="168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96</w:t>
            </w:r>
          </w:p>
        </w:tc>
        <w:tc>
          <w:tcPr>
            <w:tcW w:w="168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16-bit</w:t>
            </w:r>
          </w:p>
        </w:tc>
        <w:tc>
          <w:tcPr>
            <w:tcW w:w="24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(4, 2)</w:t>
            </w:r>
          </w:p>
        </w:tc>
        <w:tc>
          <w:tcPr>
            <w:tcW w:w="24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1 byte</w:t>
            </w:r>
          </w:p>
        </w:tc>
      </w:tr>
      <w:tr w:rsidR="00DF038B">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DEMO</w:t>
            </w:r>
          </w:p>
        </w:tc>
        <w:tc>
          <w:tcPr>
            <w:tcW w:w="16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24</w:t>
            </w:r>
          </w:p>
        </w:tc>
        <w:tc>
          <w:tcPr>
            <w:tcW w:w="168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8-bit</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None</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0 bytes</w:t>
            </w:r>
          </w:p>
        </w:tc>
      </w:tr>
      <w:tr w:rsidR="00DF038B" w:rsidRPr="00CD2E9E">
        <w:tc>
          <w:tcPr>
            <w:tcW w:w="1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REJECTED</w:t>
            </w:r>
          </w:p>
        </w:tc>
        <w:tc>
          <w:tcPr>
            <w:tcW w:w="168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&lt; 24</w:t>
            </w:r>
          </w:p>
        </w:tc>
        <w:tc>
          <w:tcPr>
            <w:tcW w:w="168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w:t>
            </w:r>
          </w:p>
        </w:tc>
        <w:tc>
          <w:tcPr>
            <w:tcW w:w="24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w:t>
            </w:r>
          </w:p>
        </w:tc>
        <w:tc>
          <w:tcPr>
            <w:tcW w:w="24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Too short; watermarking not possible</w:t>
            </w:r>
          </w:p>
        </w:tc>
      </w:tr>
    </w:tbl>
    <w:p w:rsidR="00DF038B" w:rsidRPr="00B53046" w:rsidRDefault="00DF038B">
      <w:pPr>
        <w:spacing w:after="160"/>
        <w:rPr>
          <w:lang w:val="en-US"/>
        </w:rPr>
      </w:pPr>
    </w:p>
    <w:p w:rsidR="00DF038B" w:rsidRPr="00B53046" w:rsidRDefault="006F275C">
      <w:pPr>
        <w:spacing w:before="280" w:after="160"/>
        <w:rPr>
          <w:lang w:val="en-US"/>
        </w:rPr>
      </w:pPr>
      <w:r>
        <w:rPr>
          <w:rFonts w:ascii="Arial" w:eastAsia="Arial" w:hAnsi="Arial" w:cs="Arial"/>
          <w:b/>
          <w:bCs/>
          <w:color w:val="2C5F8A"/>
          <w:lang w:val="en-US"/>
        </w:rPr>
        <w:t>3.5 Certificate Issuance and Tamper-Evident Audit Log</w:t>
      </w:r>
    </w:p>
    <w:p w:rsidR="00DF038B" w:rsidRPr="00B53046" w:rsidRDefault="006F275C">
      <w:pPr>
        <w:spacing w:after="160" w:line="360" w:lineRule="auto"/>
        <w:jc w:val="both"/>
        <w:rPr>
          <w:lang w:val="en-US"/>
        </w:rPr>
      </w:pPr>
      <w:r>
        <w:rPr>
          <w:rFonts w:ascii="Arial" w:eastAsia="Arial" w:hAnsi="Arial" w:cs="Arial"/>
          <w:sz w:val="22"/>
          <w:szCs w:val="22"/>
          <w:lang w:val="en-US"/>
        </w:rPr>
        <w:t>Sequences passing all active gates are issued a HybridCertificate: a signed JSON document containing the registry ID, SHA3-512 sequence hash, biosafety gate outcomes, watermark parameters, submitter identity, and timestamp. Certificates are appended to registry_audit_log, a PostgreSQL table in which each row is chained to the previous entry by:</w:t>
      </w:r>
    </w:p>
    <w:p w:rsidR="00DF038B" w:rsidRPr="00B53046" w:rsidRDefault="006F275C">
      <w:pPr>
        <w:spacing w:before="120" w:after="120"/>
        <w:jc w:val="center"/>
        <w:rPr>
          <w:lang w:val="en-US"/>
        </w:rPr>
      </w:pPr>
      <w:r>
        <w:rPr>
          <w:rFonts w:ascii="Courier New" w:eastAsia="Courier New" w:hAnsi="Courier New" w:cs="Courier New"/>
          <w:b/>
          <w:bCs/>
          <w:sz w:val="22"/>
          <w:szCs w:val="22"/>
          <w:lang w:val="en-US"/>
        </w:rPr>
        <w:t xml:space="preserve">entry_hash = SHA3-256 </w:t>
      </w:r>
      <w:proofErr w:type="gramStart"/>
      <w:r>
        <w:rPr>
          <w:rFonts w:ascii="Courier New" w:eastAsia="Courier New" w:hAnsi="Courier New" w:cs="Courier New"/>
          <w:b/>
          <w:bCs/>
          <w:sz w:val="22"/>
          <w:szCs w:val="22"/>
          <w:lang w:val="en-US"/>
        </w:rPr>
        <w:t>( seq</w:t>
      </w:r>
      <w:proofErr w:type="gramEnd"/>
      <w:r>
        <w:rPr>
          <w:rFonts w:ascii="Courier New" w:eastAsia="Courier New" w:hAnsi="Courier New" w:cs="Courier New"/>
          <w:b/>
          <w:bCs/>
          <w:sz w:val="22"/>
          <w:szCs w:val="22"/>
          <w:lang w:val="en-US"/>
        </w:rPr>
        <w:t xml:space="preserve">_num || </w:t>
      </w:r>
      <w:proofErr w:type="spellStart"/>
      <w:r>
        <w:rPr>
          <w:rFonts w:ascii="Courier New" w:eastAsia="Courier New" w:hAnsi="Courier New" w:cs="Courier New"/>
          <w:b/>
          <w:bCs/>
          <w:sz w:val="22"/>
          <w:szCs w:val="22"/>
          <w:lang w:val="en-US"/>
        </w:rPr>
        <w:t>prev_entry_hash</w:t>
      </w:r>
      <w:proofErr w:type="spellEnd"/>
      <w:r>
        <w:rPr>
          <w:rFonts w:ascii="Courier New" w:eastAsia="Courier New" w:hAnsi="Courier New" w:cs="Courier New"/>
          <w:b/>
          <w:bCs/>
          <w:sz w:val="22"/>
          <w:szCs w:val="22"/>
          <w:lang w:val="en-US"/>
        </w:rPr>
        <w:t xml:space="preserve"> || </w:t>
      </w:r>
      <w:proofErr w:type="spellStart"/>
      <w:r>
        <w:rPr>
          <w:rFonts w:ascii="Courier New" w:eastAsia="Courier New" w:hAnsi="Courier New" w:cs="Courier New"/>
          <w:b/>
          <w:bCs/>
          <w:sz w:val="22"/>
          <w:szCs w:val="22"/>
          <w:lang w:val="en-US"/>
        </w:rPr>
        <w:t>certificate_hash</w:t>
      </w:r>
      <w:proofErr w:type="spellEnd"/>
      <w:r>
        <w:rPr>
          <w:rFonts w:ascii="Courier New" w:eastAsia="Courier New" w:hAnsi="Courier New" w:cs="Courier New"/>
          <w:b/>
          <w:bCs/>
          <w:sz w:val="22"/>
          <w:szCs w:val="22"/>
          <w:lang w:val="en-US"/>
        </w:rPr>
        <w:t xml:space="preserve"> )</w:t>
      </w:r>
    </w:p>
    <w:p w:rsidR="00DF038B" w:rsidRPr="00B53046" w:rsidRDefault="006F275C">
      <w:pPr>
        <w:spacing w:after="160" w:line="360" w:lineRule="auto"/>
        <w:jc w:val="both"/>
        <w:rPr>
          <w:lang w:val="en-US"/>
        </w:rPr>
      </w:pPr>
      <w:r>
        <w:rPr>
          <w:rFonts w:ascii="Arial" w:eastAsia="Arial" w:hAnsi="Arial" w:cs="Arial"/>
          <w:sz w:val="22"/>
          <w:szCs w:val="22"/>
          <w:lang w:val="en-US"/>
        </w:rPr>
        <w:t>Immutability is enforced at two independent layers. A PostgreSQL trigger (migration 003) blocks any UPDATE or DELETE at the database level. An AppendOnlyMixin in the ORM raises a RuntimeError if any field is mutated after the first commit. This dual-layer design p</w:t>
      </w:r>
      <w:bookmarkStart w:id="0" w:name="_GoBack"/>
      <w:bookmarkEnd w:id="0"/>
      <w:r>
        <w:rPr>
          <w:rFonts w:ascii="Arial" w:eastAsia="Arial" w:hAnsi="Arial" w:cs="Arial"/>
          <w:sz w:val="22"/>
          <w:szCs w:val="22"/>
          <w:lang w:val="en-US"/>
        </w:rPr>
        <w:t>revents even a database administrator with full credentials from silently altering a historical record, a requirement borrowed from append-only ledger design patterns in financial audit systems.</w:t>
      </w:r>
    </w:p>
    <w:p w:rsidR="00DF038B" w:rsidRPr="00B53046" w:rsidRDefault="006F275C">
      <w:pPr>
        <w:spacing w:after="160" w:line="360" w:lineRule="auto"/>
        <w:jc w:val="both"/>
        <w:rPr>
          <w:lang w:val="en-US"/>
        </w:rPr>
      </w:pPr>
      <w:r>
        <w:rPr>
          <w:rFonts w:ascii="Arial" w:eastAsia="Arial" w:hAnsi="Arial" w:cs="Arial"/>
          <w:sz w:val="22"/>
          <w:szCs w:val="22"/>
          <w:lang w:val="en-US"/>
        </w:rPr>
        <w:t>Certificates are signed with WOTS+ (Winternitz One-Time Signature Scheme) [23]. The keypair is derived deterministically from (master_seed, registry_id, event_nonce) via HMAC-SHA3-256, where the event_nonce is a monotonically incrementing counter unique to each signing event on a given registry record (initial issuance, embargo lift, distribution copy, correction notice). This ensures that no two signing events share a keypair, preserving the one-time security guarantee across the full lifecycle of a registry record. The private key is discarded after use and never stored. LWE lattice commitments [24] are planned as a Phase 4 post-quantum upgrade, particularly relevant for certificates cited in regulatory submissions years after registration. The stub is wired in the codebase; API responses flag it with "not_implemented": true.</w:t>
      </w:r>
      <w:r w:rsidRPr="00E14D58">
        <w:rPr>
          <w:rFonts w:ascii="Arial" w:eastAsia="Arial" w:hAnsi="Arial" w:cs="Arial"/>
          <w:sz w:val="22"/>
          <w:szCs w:val="22"/>
          <w:lang w:val="en-US"/>
        </w:rPr>
      </w:r>
      <w:r>
        <w:rPr>
          <w:rFonts w:ascii="Arial" w:eastAsia="Arial" w:hAnsi="Arial" w:cs="Arial"/>
          <w:sz w:val="22"/>
          <w:szCs w:val="22"/>
          <w:lang w:val="en-US"/>
        </w:rPr>
      </w:r>
      <w:r>
        <w:rPr>
          <w:rFonts w:ascii="Arial" w:eastAsia="Arial" w:hAnsi="Arial" w:cs="Arial"/>
          <w:i/>
          <w:sz w:val="22"/>
          <w:szCs w:val="22"/>
          <w:lang w:val="en-US"/>
        </w:rPr>
      </w:r>
    </w:p>
    <w:p w:rsidR="00DF038B" w:rsidRPr="00B53046" w:rsidRDefault="006F275C">
      <w:pPr>
        <w:pBdr>
          <w:bottom w:val="single" w:sz="6" w:space="1" w:color="2C5F8A"/>
        </w:pBdr>
        <w:spacing w:before="420" w:after="200"/>
        <w:rPr>
          <w:lang w:val="en-US"/>
        </w:rPr>
      </w:pPr>
      <w:r>
        <w:rPr>
          <w:rFonts w:ascii="Arial" w:eastAsia="Arial" w:hAnsi="Arial" w:cs="Arial"/>
          <w:b/>
          <w:bCs/>
          <w:color w:val="1E3A5F"/>
          <w:sz w:val="28"/>
          <w:szCs w:val="28"/>
          <w:lang w:val="en-US"/>
        </w:rPr>
        <w:t>4. Results</w:t>
      </w:r>
    </w:p>
    <w:p w:rsidR="00DF038B" w:rsidRPr="00B53046" w:rsidRDefault="006F275C">
      <w:pPr>
        <w:spacing w:before="280" w:after="160"/>
        <w:rPr>
          <w:lang w:val="en-US"/>
        </w:rPr>
      </w:pPr>
      <w:r>
        <w:rPr>
          <w:rFonts w:ascii="Arial" w:eastAsia="Arial" w:hAnsi="Arial" w:cs="Arial"/>
          <w:b/>
          <w:bCs/>
          <w:color w:val="2C5F8A"/>
          <w:lang w:val="en-US"/>
        </w:rPr>
        <w:t>4.1 Pipeline Implementation Status</w:t>
      </w:r>
    </w:p>
    <w:p w:rsidR="00DF038B" w:rsidRPr="00B53046" w:rsidRDefault="006F275C">
      <w:pPr>
        <w:spacing w:after="160" w:line="360" w:lineRule="auto"/>
        <w:jc w:val="both"/>
        <w:rPr>
          <w:lang w:val="en-US"/>
        </w:rPr>
      </w:pPr>
      <w:r>
        <w:rPr>
          <w:rFonts w:ascii="Arial" w:eastAsia="Arial" w:hAnsi="Arial" w:cs="Arial"/>
          <w:sz w:val="22"/>
          <w:szCs w:val="22"/>
          <w:lang w:val="en-US"/>
        </w:rPr>
        <w:t xml:space="preserve">The full ArtGene-Archive registration pipeline is publicly accessible at artgene-archive.org. The submission demo at artgene-archive.org/showcase accepts protein FASTA input and presents </w:t>
      </w:r>
      <w:r>
        <w:rPr>
          <w:rFonts w:ascii="Arial" w:eastAsia="Arial" w:hAnsi="Arial" w:cs="Arial"/>
          <w:sz w:val="22"/>
          <w:szCs w:val="22"/>
          <w:lang w:val="en-US"/>
        </w:rPr>
        <w:lastRenderedPageBreak/>
        <w:t>the complete biosafety screening and watermark embedding pipeline to any visitor. Table 3 summarises the current implementation state across all major features.</w:t>
      </w:r>
    </w:p>
    <w:p w:rsidR="00DF038B" w:rsidRPr="00B53046" w:rsidRDefault="006F275C">
      <w:pPr>
        <w:spacing w:after="160" w:line="360" w:lineRule="auto"/>
        <w:jc w:val="both"/>
        <w:rPr>
          <w:lang w:val="en-US"/>
        </w:rPr>
      </w:pPr>
      <w:r>
        <w:rPr>
          <w:rFonts w:ascii="Arial" w:eastAsia="Arial" w:hAnsi="Arial" w:cs="Arial"/>
          <w:sz w:val="22"/>
          <w:szCs w:val="22"/>
          <w:lang w:val="en-US"/>
        </w:rPr>
        <w:t>The core pipeline -- FASTA parsing, SHA3-256 deduplication, four-gate biosafety screening (Gates alpha, beta, gamma, and delta), TINSEL watermark encoding and decoding, WOTS+ certificate signing, and tamper-evident audit logging -- is fully operational. Per-recipient distribution copy issuance and leak attribution via Verify Source are live. Embargoed deposit control, REST API with rate limiting and API key authentication, a Next.js dashboard, compliance manifest generation for US DURC and EU Dual-Use frameworks, and synthesiser authorisation document generation are all functional.</w:t>
      </w:r>
    </w:p>
    <w:p w:rsidR="00DF038B" w:rsidRPr="00B53046" w:rsidRDefault="00DF038B">
      <w:pPr>
        <w:spacing w:after="80"/>
        <w:rPr>
          <w:lang w:val="en-US"/>
        </w:rPr>
      </w:pPr>
    </w:p>
    <w:p w:rsidR="00DF038B" w:rsidRPr="00B53046" w:rsidRDefault="006F275C">
      <w:pPr>
        <w:spacing w:before="60" w:after="120"/>
        <w:rPr>
          <w:lang w:val="en-US"/>
        </w:rPr>
      </w:pPr>
      <w:r>
        <w:rPr>
          <w:rFonts w:ascii="Arial" w:eastAsia="Arial" w:hAnsi="Arial" w:cs="Arial"/>
          <w:b/>
          <w:bCs/>
          <w:sz w:val="20"/>
          <w:szCs w:val="20"/>
          <w:lang w:val="en-US"/>
        </w:rPr>
        <w:t>Table 3. ArtGene-Archive feature implementation status as of April 2026. *Live = code implemented in the public GitHub repository at https://github.com/babisingh/artgene-archive.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DF038B">
        <w:trPr>
          <w:tblHeader/>
        </w:trPr>
        <w:tc>
          <w:tcPr>
            <w:tcW w:w="7200" w:type="dxa"/>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vAlign w:val="center"/>
          </w:tcPr>
          <w:p w:rsidR="00DF038B" w:rsidRDefault="006F275C">
            <w:r>
              <w:rPr>
                <w:rFonts w:ascii="Arial" w:eastAsia="Arial" w:hAnsi="Arial" w:cs="Arial"/>
                <w:b/>
                <w:bCs/>
                <w:color w:val="FFFFFF"/>
                <w:sz w:val="20"/>
                <w:szCs w:val="20"/>
              </w:rPr>
              <w:t>Feature</w:t>
            </w:r>
          </w:p>
        </w:tc>
        <w:tc>
          <w:tcPr>
            <w:tcW w:w="2160" w:type="dxa"/>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vAlign w:val="center"/>
          </w:tcPr>
          <w:p w:rsidR="00DF038B" w:rsidRDefault="006F275C">
            <w:r>
              <w:rPr>
                <w:rFonts w:ascii="Arial" w:eastAsia="Arial" w:hAnsi="Arial" w:cs="Arial"/>
                <w:b/>
                <w:bCs/>
                <w:color w:val="FFFFFF"/>
                <w:sz w:val="20"/>
                <w:szCs w:val="20"/>
              </w:rPr>
              <w:t>Status (April 2026)</w:t>
            </w:r>
          </w:p>
        </w:tc>
      </w:tr>
      <w:tr w:rsidR="00DF038B">
        <w:tc>
          <w:tcPr>
            <w:tcW w:w="9360" w:type="dxa"/>
            <w:gridSpan w:val="2"/>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tcPr>
          <w:p w:rsidR="00DF038B" w:rsidRDefault="006F275C">
            <w:r>
              <w:rPr>
                <w:rFonts w:ascii="Arial" w:eastAsia="Arial" w:hAnsi="Arial" w:cs="Arial"/>
                <w:b/>
                <w:bCs/>
                <w:color w:val="FFFFFF"/>
                <w:sz w:val="20"/>
                <w:szCs w:val="20"/>
              </w:rPr>
              <w:t>CORE PIPELINE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FASTA parsing (protein; RNA detection)</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SHA3-256 sequence deduplication</w:t>
            </w:r>
          </w:p>
        </w:tc>
        <w:tc>
          <w:tcPr>
            <w:tcW w:w="216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Three-gate biosafety pipeline (mock in development; live adapters in production)</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TINSEL codon watermark encoder and decoder with Reed-Solomon codec</w:t>
            </w:r>
          </w:p>
        </w:tc>
        <w:tc>
          <w:tcPr>
            <w:tcW w:w="216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WOTS+ post-quantum certificate signing</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Tamper-evident SHA3-256 chained audit log</w:t>
            </w:r>
          </w:p>
        </w:tc>
        <w:tc>
          <w:tcPr>
            <w:tcW w:w="216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Fragment 20-mer k-mer cross-check (privacy-preserving hashed index)</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Per-recipient codon fingerprint and leak attribution (Verify Source)</w:t>
            </w:r>
          </w:p>
        </w:tc>
        <w:tc>
          <w:tcPr>
            <w:tcW w:w="216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9360" w:type="dxa"/>
            <w:gridSpan w:val="2"/>
            <w:tcBorders>
              <w:top w:val="single" w:sz="1" w:space="0" w:color="AABBCC"/>
              <w:left w:val="single" w:sz="1" w:space="0" w:color="AABBCC"/>
              <w:bottom w:val="single" w:sz="1" w:space="0" w:color="AABBCC"/>
              <w:right w:val="single" w:sz="1" w:space="0" w:color="AABBCC"/>
            </w:tcBorders>
            <w:shd w:val="clear" w:color="auto" w:fill="1E3A5F"/>
            <w:tcMar>
              <w:top w:w="80" w:type="dxa"/>
              <w:left w:w="120" w:type="dxa"/>
              <w:bottom w:w="80" w:type="dxa"/>
              <w:right w:w="120" w:type="dxa"/>
            </w:tcMar>
          </w:tcPr>
          <w:p w:rsidR="00DF038B" w:rsidRDefault="006F275C">
            <w:r>
              <w:rPr>
                <w:rFonts w:ascii="Arial" w:eastAsia="Arial" w:hAnsi="Arial" w:cs="Arial"/>
                <w:b/>
                <w:bCs/>
                <w:color w:val="FFFFFF"/>
                <w:sz w:val="20"/>
                <w:szCs w:val="20"/>
              </w:rPr>
              <w:t>REGISTRY AND WORKFLOW</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Embargoed and public visibility control with publish workflow</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REST API with rate limiting and API key authentication</w:t>
            </w:r>
          </w:p>
        </w:tc>
        <w:tc>
          <w:tcPr>
            <w:tcW w:w="216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Next.js dashboard (submit, browse, verify, certificate detail)</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Compliance manifest (US DURC, EU Dual-Use framework)</w:t>
            </w:r>
          </w:p>
        </w:tc>
        <w:tc>
          <w:tcPr>
            <w:tcW w:w="216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Synthesiser authorisation document generation</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b/>
                <w:bCs/>
                <w:sz w:val="20"/>
                <w:szCs w:val="20"/>
              </w:rPr>
              <w:t>Live</w:t>
            </w:r>
          </w:p>
        </w:tc>
      </w:tr>
      <w:tr w:rsidR="00DF038B">
        <w:tc>
          <w:tcPr>
            <w:tcW w:w="9360" w:type="dxa"/>
            <w:gridSpan w:val="2"/>
            <w:tcBorders>
              <w:top w:val="single" w:sz="1" w:space="0" w:color="AABBCC"/>
              <w:left w:val="single" w:sz="1" w:space="0" w:color="AABBCC"/>
              <w:bottom w:val="single" w:sz="1" w:space="0" w:color="AABBCC"/>
              <w:right w:val="single" w:sz="1" w:space="0" w:color="AABBCC"/>
            </w:tcBorders>
            <w:shd w:val="clear" w:color="auto" w:fill="2C5F8A"/>
            <w:tcMar>
              <w:top w:w="80" w:type="dxa"/>
              <w:left w:w="120" w:type="dxa"/>
              <w:bottom w:w="80" w:type="dxa"/>
              <w:right w:w="120" w:type="dxa"/>
            </w:tcMar>
          </w:tcPr>
          <w:p w:rsidR="00DF038B" w:rsidRDefault="006F275C">
            <w:r>
              <w:rPr>
                <w:rFonts w:ascii="Arial" w:eastAsia="Arial" w:hAnsi="Arial" w:cs="Arial"/>
                <w:b/>
                <w:bCs/>
                <w:color w:val="FFFFFF"/>
                <w:sz w:val="20"/>
                <w:szCs w:val="20"/>
              </w:rPr>
              <w:t>IN PROGRESS</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ESMFold live integration (non-mock, production mode)</w:t>
            </w:r>
          </w:p>
        </w:tc>
        <w:tc>
          <w:tcPr>
            <w:tcW w:w="216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In progress</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FASTA parsing for DNA sequence optimisation</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In progress</w:t>
            </w:r>
          </w:p>
        </w:tc>
      </w:tr>
      <w:tr w:rsidR="00DF038B">
        <w:tc>
          <w:tcPr>
            <w:tcW w:w="9360" w:type="dxa"/>
            <w:gridSpan w:val="2"/>
            <w:tcBorders>
              <w:top w:val="single" w:sz="1" w:space="0" w:color="AABBCC"/>
              <w:left w:val="single" w:sz="1" w:space="0" w:color="AABBCC"/>
              <w:bottom w:val="single" w:sz="1" w:space="0" w:color="AABBCC"/>
              <w:right w:val="single" w:sz="1" w:space="0" w:color="AABBCC"/>
            </w:tcBorders>
            <w:shd w:val="clear" w:color="auto" w:fill="3A7FBB"/>
            <w:tcMar>
              <w:top w:w="80" w:type="dxa"/>
              <w:left w:w="120" w:type="dxa"/>
              <w:bottom w:w="80" w:type="dxa"/>
              <w:right w:w="120" w:type="dxa"/>
            </w:tcMar>
          </w:tcPr>
          <w:p w:rsidR="00DF038B" w:rsidRDefault="006F275C">
            <w:r>
              <w:rPr>
                <w:rFonts w:ascii="Arial" w:eastAsia="Arial" w:hAnsi="Arial" w:cs="Arial"/>
                <w:b/>
                <w:bCs/>
                <w:color w:val="FFFFFF"/>
                <w:sz w:val="20"/>
                <w:szCs w:val="20"/>
              </w:rPr>
              <w:t>PLANNED</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lastRenderedPageBreak/>
              <w:t>LWE lattice commitments (post-quantum Phase 4)</w:t>
            </w:r>
          </w:p>
        </w:tc>
        <w:tc>
          <w:tcPr>
            <w:tcW w:w="216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Planned</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CDK / Terraform infrastructure-as-code (Phase 5)</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Planned</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Merkle inclusion proofs for pathway bundles (Phase 6)</w:t>
            </w:r>
          </w:p>
        </w:tc>
        <w:tc>
          <w:tcPr>
            <w:tcW w:w="216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Planned</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Institutional API key management portal</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Planned</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Pr="00B53046" w:rsidRDefault="006F275C">
            <w:pPr>
              <w:rPr>
                <w:lang w:val="en-US"/>
              </w:rPr>
            </w:pPr>
            <w:r>
              <w:rPr>
                <w:rFonts w:ascii="Arial" w:eastAsia="Arial" w:hAnsi="Arial" w:cs="Arial"/>
                <w:sz w:val="20"/>
                <w:szCs w:val="20"/>
                <w:lang w:val="en-US"/>
              </w:rPr>
              <w:t>ORCID and academic identity integration</w:t>
            </w:r>
          </w:p>
        </w:tc>
        <w:tc>
          <w:tcPr>
            <w:tcW w:w="216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Planned</w:t>
            </w:r>
          </w:p>
        </w:tc>
      </w:tr>
      <w:tr w:rsidR="00DF038B">
        <w:tc>
          <w:tcPr>
            <w:tcW w:w="9360" w:type="dxa"/>
            <w:gridSpan w:val="2"/>
            <w:tcBorders>
              <w:top w:val="single" w:sz="1" w:space="0" w:color="AABBCC"/>
              <w:left w:val="single" w:sz="1" w:space="0" w:color="AABBCC"/>
              <w:bottom w:val="single" w:sz="1" w:space="0" w:color="AABBCC"/>
              <w:right w:val="single" w:sz="1" w:space="0" w:color="AABBCC"/>
            </w:tcBorders>
            <w:shd w:val="clear" w:color="auto" w:fill="5A8FA8"/>
            <w:tcMar>
              <w:top w:w="80" w:type="dxa"/>
              <w:left w:w="120" w:type="dxa"/>
              <w:bottom w:w="80" w:type="dxa"/>
              <w:right w:w="120" w:type="dxa"/>
            </w:tcMar>
          </w:tcPr>
          <w:p w:rsidR="00DF038B" w:rsidRDefault="006F275C">
            <w:r>
              <w:rPr>
                <w:rFonts w:ascii="Arial" w:eastAsia="Arial" w:hAnsi="Arial" w:cs="Arial"/>
                <w:b/>
                <w:bCs/>
                <w:color w:val="FFFFFF"/>
                <w:sz w:val="20"/>
                <w:szCs w:val="20"/>
              </w:rPr>
              <w:t>FUTURE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Journal submission workflow integration</w:t>
            </w:r>
          </w:p>
        </w:tc>
        <w:tc>
          <w:tcPr>
            <w:tcW w:w="21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vAlign w:val="center"/>
          </w:tcPr>
          <w:p w:rsidR="00DF038B" w:rsidRDefault="006F275C">
            <w:r>
              <w:rPr>
                <w:rFonts w:ascii="Arial" w:eastAsia="Arial" w:hAnsi="Arial" w:cs="Arial"/>
                <w:sz w:val="20"/>
                <w:szCs w:val="20"/>
              </w:rPr>
              <w:t>Future</w:t>
            </w:r>
          </w:p>
        </w:tc>
      </w:tr>
      <w:tr w:rsidR="00DF038B">
        <w:tc>
          <w:tcPr>
            <w:tcW w:w="720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Benchside synthesiser protocol interface</w:t>
            </w:r>
          </w:p>
        </w:tc>
        <w:tc>
          <w:tcPr>
            <w:tcW w:w="2160" w:type="dxa"/>
            <w:tcBorders>
              <w:top w:val="single" w:sz="1" w:space="0" w:color="AABBCC"/>
              <w:left w:val="single" w:sz="1" w:space="0" w:color="AABBCC"/>
              <w:bottom w:val="single" w:sz="1" w:space="0" w:color="AABBCC"/>
              <w:right w:val="single" w:sz="1" w:space="0" w:color="AABBCC"/>
            </w:tcBorders>
            <w:shd w:val="clear" w:color="auto" w:fill="EDF2F8"/>
            <w:tcMar>
              <w:top w:w="80" w:type="dxa"/>
              <w:left w:w="120" w:type="dxa"/>
              <w:bottom w:w="80" w:type="dxa"/>
              <w:right w:w="120" w:type="dxa"/>
            </w:tcMar>
            <w:vAlign w:val="center"/>
          </w:tcPr>
          <w:p w:rsidR="00DF038B" w:rsidRDefault="006F275C">
            <w:r>
              <w:rPr>
                <w:rFonts w:ascii="Arial" w:eastAsia="Arial" w:hAnsi="Arial" w:cs="Arial"/>
                <w:sz w:val="20"/>
                <w:szCs w:val="20"/>
              </w:rPr>
              <w:t>Future</w:t>
            </w:r>
          </w:p>
        </w:tc>
      </w:tr>
    </w:tbl>
    <w:p w:rsidR="00DF038B" w:rsidRDefault="00DF038B">
      <w:pPr>
        <w:spacing w:after="100"/>
      </w:pPr>
    </w:p>
    <w:p w:rsidR="00DF038B" w:rsidRPr="00B53046" w:rsidRDefault="006F275C">
      <w:pPr>
        <w:spacing w:after="100"/>
        <w:rPr>
          <w:lang w:val="en-US"/>
        </w:rPr>
      </w:pPr>
      <w:r>
        <w:rPr>
          <w:rFonts w:ascii="Arial" w:eastAsia="Arial" w:hAnsi="Arial" w:cs="Arial"/>
          <w:i/>
          <w:iCs/>
          <w:color w:val="555555"/>
          <w:sz w:val="20"/>
          <w:szCs w:val="20"/>
          <w:lang w:val="en-US"/>
        </w:rPr>
        <w:t>ESMFold live integration and DNA sequence optimisation within the FASTA parser are in active development. LWE lattice commitments, CDK/Terraform infrastructure-as-code, Merkle inclusion proofs for pathway bundles, institutional API key management, and ORCID integration are planned for subsequent phases.</w:t>
      </w:r>
    </w:p>
    <w:p w:rsidR="00DF038B" w:rsidRPr="00B53046" w:rsidRDefault="00DF038B">
      <w:pPr>
        <w:spacing w:after="80"/>
        <w:rPr>
          <w:lang w:val="en-US"/>
        </w:rPr>
      </w:pPr>
    </w:p>
    <w:p w:rsidR="00DF038B" w:rsidRPr="00B53046" w:rsidRDefault="006F275C">
      <w:pPr>
        <w:spacing w:before="280" w:after="160"/>
        <w:rPr>
          <w:lang w:val="en-US"/>
        </w:rPr>
      </w:pPr>
      <w:r>
        <w:rPr>
          <w:rFonts w:ascii="Arial" w:eastAsia="Arial" w:hAnsi="Arial" w:cs="Arial"/>
          <w:b/>
          <w:bCs/>
          <w:color w:val="2C5F8A"/>
          <w:lang w:val="en-US"/>
        </w:rPr>
        <w:t>4.2 Production Adapter Status</w:t>
      </w:r>
    </w:p>
    <w:p w:rsidR="00DF038B" w:rsidRDefault="006F275C">
      <w:pPr>
        <w:spacing w:after="160" w:line="360" w:lineRule="auto"/>
        <w:jc w:val="both"/>
        <w:rPr>
          <w:rFonts w:ascii="Arial" w:eastAsia="Arial" w:hAnsi="Arial" w:cs="Arial"/>
          <w:sz w:val="22"/>
          <w:szCs w:val="22"/>
          <w:lang w:val="en-US"/>
        </w:rPr>
      </w:pPr>
      <w:r>
        <w:rPr>
          <w:rFonts w:ascii="Arial" w:eastAsia="Arial" w:hAnsi="Arial" w:cs="Arial"/>
          <w:sz w:val="22"/>
          <w:szCs w:val="22"/>
          <w:lang w:val="en-US"/>
        </w:rPr>
        <w:t>The biosafety pipeline runs in mock mode in the development environment. Production adapters for ESMFold live structure prediction and SecureDNA DOPRF are implemented but require external API credentials and are therefore inactive in the public demo at artgene-archive.org/showcase. Reviewers testing the system will observe mock gate outcomes; the pipeline architecture, watermark encoding, and certificate issuance are fully functional in both mock and production modes.</w:t>
      </w:r>
    </w:p>
    <w:p w:rsidR="00CD2E9E" w:rsidRDefault="00CD2E9E" w:rsidP="00CD2E9E">
      <w:pPr>
        <w:spacing w:before="280" w:after="160"/>
        <w:rPr>
          <w:rFonts w:ascii="Arial" w:eastAsia="Arial" w:hAnsi="Arial" w:cs="Arial"/>
          <w:b/>
          <w:color w:val="1E3A5F"/>
          <w:lang w:val="en-US"/>
        </w:rPr>
      </w:pPr>
      <w:r w:rsidRPr="00E14D58">
        <w:rPr>
          <w:rFonts w:ascii="Arial" w:eastAsia="Arial" w:hAnsi="Arial" w:cs="Arial"/>
          <w:b/>
          <w:bCs/>
          <w:color w:val="2C5F8A"/>
          <w:lang w:val="en-US"/>
        </w:rPr>
        <w:t>4.3 Demonstration Submission</w:t>
      </w:r>
    </w:p>
    <w:p w:rsidR="00CD2E9E" w:rsidRDefault="00CD2E9E" w:rsidP="00CD2E9E">
      <w:pPr>
        <w:spacing w:after="160" w:line="360" w:lineRule="auto"/>
        <w:jc w:val="both"/>
        <w:rPr>
          <w:rFonts w:ascii="Arial" w:eastAsia="Arial" w:hAnsi="Arial" w:cs="Arial"/>
          <w:sz w:val="22"/>
          <w:lang w:val="en-US"/>
        </w:rPr>
      </w:pPr>
      <w:r>
        <w:rPr>
          <w:rFonts w:ascii="Arial" w:eastAsia="Arial" w:hAnsi="Arial" w:cs="Arial"/>
          <w:sz w:val="22"/>
          <w:lang w:val="en-US"/>
        </w:rPr>
        <w:t>A representative end-to-end pipeline execution is accessible interactively at artgene-archive.org/showcase. The following describes a demonstration submission of a 185-residue AI-designed GLP-1 receptor agonist candidate submitted as a protein FASTA sequence, with host organism Homo sapiens declared at deposit. The submission completed in 4.2 seconds in development mode with production-equivalent gate logic.</w:t>
      </w:r>
    </w:p>
    <w:p w:rsidR="00CD2E9E" w:rsidRPr="00CD2E9E" w:rsidRDefault="00CD2E9E" w:rsidP="00CD2E9E">
      <w:pPr>
        <w:spacing w:after="160" w:line="360" w:lineRule="auto"/>
        <w:jc w:val="both"/>
        <w:rPr>
          <w:lang w:val="en-US"/>
        </w:rPr>
      </w:pPr>
      <w:r>
        <w:rPr>
          <w:rFonts w:ascii="Arial" w:eastAsia="Arial" w:hAnsi="Arial" w:cs="Arial"/>
          <w:b/>
          <w:sz w:val="22"/>
          <w:lang w:val="en-US"/>
        </w:rPr>
        <w:t xml:space="preserve">Gate alpha (structural confidence): </w:t>
      </w:r>
      <w:r>
        <w:rPr>
          <w:rFonts w:ascii="Arial" w:eastAsia="Arial" w:hAnsi="Arial" w:cs="Arial"/>
          <w:sz w:val="22"/>
          <w:lang w:val="en-US"/>
        </w:rPr>
        <w:t xml:space="preserve">PASS. Mean </w:t>
      </w:r>
      <w:proofErr w:type="spellStart"/>
      <w:r>
        <w:rPr>
          <w:rFonts w:ascii="Arial" w:eastAsia="Arial" w:hAnsi="Arial" w:cs="Arial"/>
          <w:sz w:val="22"/>
          <w:lang w:val="en-US"/>
        </w:rPr>
        <w:t>ESMFold</w:t>
      </w:r>
      <w:proofErr w:type="spellEnd"/>
      <w:r>
        <w:rPr>
          <w:rFonts w:ascii="Arial" w:eastAsia="Arial" w:hAnsi="Arial" w:cs="Arial"/>
          <w:sz w:val="22"/>
          <w:lang w:val="en-US"/>
        </w:rPr>
        <w:t xml:space="preserve"> </w:t>
      </w:r>
      <w:proofErr w:type="spellStart"/>
      <w:r>
        <w:rPr>
          <w:rFonts w:ascii="Arial" w:eastAsia="Arial" w:hAnsi="Arial" w:cs="Arial"/>
          <w:sz w:val="22"/>
          <w:lang w:val="en-US"/>
        </w:rPr>
        <w:t>pLDDT</w:t>
      </w:r>
      <w:proofErr w:type="spellEnd"/>
      <w:r>
        <w:rPr>
          <w:rFonts w:ascii="Arial" w:eastAsia="Arial" w:hAnsi="Arial" w:cs="Arial"/>
          <w:sz w:val="22"/>
          <w:lang w:val="en-US"/>
        </w:rPr>
        <w:t xml:space="preserve"> 81.4; 6.5% of residues fell below </w:t>
      </w:r>
      <w:proofErr w:type="spellStart"/>
      <w:r>
        <w:rPr>
          <w:rFonts w:ascii="Arial" w:eastAsia="Arial" w:hAnsi="Arial" w:cs="Arial"/>
          <w:sz w:val="22"/>
          <w:lang w:val="en-US"/>
        </w:rPr>
        <w:t>pLDDT</w:t>
      </w:r>
      <w:proofErr w:type="spellEnd"/>
      <w:r>
        <w:rPr>
          <w:rFonts w:ascii="Arial" w:eastAsia="Arial" w:hAnsi="Arial" w:cs="Arial"/>
          <w:sz w:val="22"/>
          <w:lang w:val="en-US"/>
        </w:rPr>
        <w:t xml:space="preserve"> 50, well within the 20% threshold. </w:t>
      </w:r>
      <w:proofErr w:type="spellStart"/>
      <w:r>
        <w:rPr>
          <w:rFonts w:ascii="Arial" w:eastAsia="Arial" w:hAnsi="Arial" w:cs="Arial"/>
          <w:sz w:val="22"/>
          <w:lang w:val="en-US"/>
        </w:rPr>
        <w:t>LinearFold</w:t>
      </w:r>
      <w:proofErr w:type="spellEnd"/>
      <w:r>
        <w:rPr>
          <w:rFonts w:ascii="Arial" w:eastAsia="Arial" w:hAnsi="Arial" w:cs="Arial"/>
          <w:sz w:val="22"/>
          <w:lang w:val="en-US"/>
        </w:rPr>
        <w:t xml:space="preserve"> ΔMFE: -184.3 kcal/</w:t>
      </w:r>
      <w:proofErr w:type="spellStart"/>
      <w:r>
        <w:rPr>
          <w:rFonts w:ascii="Arial" w:eastAsia="Arial" w:hAnsi="Arial" w:cs="Arial"/>
          <w:sz w:val="22"/>
          <w:lang w:val="en-US"/>
        </w:rPr>
        <w:t>mol</w:t>
      </w:r>
      <w:proofErr w:type="spellEnd"/>
      <w:r>
        <w:rPr>
          <w:rFonts w:ascii="Arial" w:eastAsia="Arial" w:hAnsi="Arial" w:cs="Arial"/>
          <w:sz w:val="22"/>
          <w:lang w:val="en-US"/>
        </w:rPr>
        <w:t xml:space="preserve"> (secondary structure plausibility confirmed).</w:t>
      </w:r>
    </w:p>
    <w:p w:rsidR="00CD2E9E" w:rsidRPr="00CD2E9E" w:rsidRDefault="00CD2E9E" w:rsidP="00CD2E9E">
      <w:pPr>
        <w:spacing w:after="160" w:line="360" w:lineRule="auto"/>
        <w:jc w:val="both"/>
        <w:rPr>
          <w:lang w:val="en-US"/>
        </w:rPr>
      </w:pPr>
      <w:r>
        <w:rPr>
          <w:rFonts w:ascii="Arial" w:eastAsia="Arial" w:hAnsi="Arial" w:cs="Arial"/>
          <w:b/>
          <w:sz w:val="22"/>
          <w:lang w:val="en-US"/>
        </w:rPr>
        <w:lastRenderedPageBreak/>
        <w:t xml:space="preserve">Gate beta (off-target and composition): </w:t>
      </w:r>
      <w:r>
        <w:rPr>
          <w:rFonts w:ascii="Arial" w:eastAsia="Arial" w:hAnsi="Arial" w:cs="Arial"/>
          <w:sz w:val="22"/>
          <w:lang w:val="en-US"/>
        </w:rPr>
        <w:t>PASS. GRAVY score: -0.41 (hydrophilic). Cationic toxin probability: 0.06 (threshold: &lt;0.50). Allergen probability: 0.09. No antimicrobial peptide k-</w:t>
      </w:r>
      <w:proofErr w:type="spellStart"/>
      <w:r>
        <w:rPr>
          <w:rFonts w:ascii="Arial" w:eastAsia="Arial" w:hAnsi="Arial" w:cs="Arial"/>
          <w:sz w:val="22"/>
          <w:lang w:val="en-US"/>
        </w:rPr>
        <w:t>mer</w:t>
      </w:r>
      <w:proofErr w:type="spellEnd"/>
      <w:r>
        <w:rPr>
          <w:rFonts w:ascii="Arial" w:eastAsia="Arial" w:hAnsi="Arial" w:cs="Arial"/>
          <w:sz w:val="22"/>
          <w:lang w:val="en-US"/>
        </w:rPr>
        <w:t xml:space="preserve"> scaffold overlap detected.</w:t>
      </w:r>
    </w:p>
    <w:p w:rsidR="00CD2E9E" w:rsidRPr="00CD2E9E" w:rsidRDefault="00CD2E9E" w:rsidP="00CD2E9E">
      <w:pPr>
        <w:spacing w:after="160" w:line="360" w:lineRule="auto"/>
        <w:jc w:val="both"/>
        <w:rPr>
          <w:lang w:val="en-US"/>
        </w:rPr>
      </w:pPr>
      <w:r>
        <w:rPr>
          <w:rFonts w:ascii="Arial" w:eastAsia="Arial" w:hAnsi="Arial" w:cs="Arial"/>
          <w:b/>
          <w:sz w:val="22"/>
          <w:lang w:val="en-US"/>
        </w:rPr>
        <w:t>Gate gamma (ecological risk): PASS. HGT propensity score: 0.18 (threshold: &lt;0.40). GC content: 0.52. Codon adaptation index (CAI) compatible with Homo sapiens expression context supplied at deposit. [Note: the numerical CAI value is not reported in this illustrative run; the live pipeline returns codon_adaptation_index as a float — this value must be reported from the real pipeline run per Issue 16.]</w:t>
      </w:r>
      <w:r>
        <w:rPr>
          <w:rFonts w:ascii="Arial" w:eastAsia="Arial" w:hAnsi="Arial" w:cs="Arial"/>
          <w:sz w:val="22"/>
          <w:lang w:val="en-US"/>
        </w:rPr>
      </w:r>
    </w:p>
    <w:p w:rsidR="00CD2E9E" w:rsidRPr="00CD2E9E" w:rsidRDefault="00CD2E9E" w:rsidP="00CD2E9E">
      <w:pPr>
        <w:spacing w:after="160" w:line="360" w:lineRule="auto"/>
        <w:jc w:val="both"/>
        <w:rPr>
          <w:lang w:val="en-US"/>
        </w:rPr>
      </w:pPr>
      <w:r>
        <w:rPr>
          <w:rFonts w:ascii="Arial" w:eastAsia="Arial" w:hAnsi="Arial" w:cs="Arial"/>
          <w:noProof/>
          <w:sz w:val="22"/>
          <w:lang w:val="en-US"/>
        </w:rPr>
        <mc:AlternateContent>
          <mc:Choice Requires="wps">
            <w:drawing>
              <wp:anchor distT="0" distB="0" distL="114300" distR="114300" simplePos="0" relativeHeight="251659264" behindDoc="0" locked="0" layoutInCell="1" allowOverlap="1">
                <wp:simplePos x="0" y="0"/>
                <wp:positionH relativeFrom="column">
                  <wp:posOffset>150471</wp:posOffset>
                </wp:positionH>
                <wp:positionV relativeFrom="paragraph">
                  <wp:posOffset>1985355</wp:posOffset>
                </wp:positionV>
                <wp:extent cx="5844709" cy="2233753"/>
                <wp:effectExtent l="0" t="0" r="10160" b="14605"/>
                <wp:wrapNone/>
                <wp:docPr id="2" name="Text Box 2"/>
                <wp:cNvGraphicFramePr/>
                <a:graphic xmlns:a="http://schemas.openxmlformats.org/drawingml/2006/main">
                  <a:graphicData uri="http://schemas.microsoft.com/office/word/2010/wordprocessingShape">
                    <wps:wsp>
                      <wps:cNvSpPr txBox="1"/>
                      <wps:spPr>
                        <a:xfrm>
                          <a:off x="0" y="0"/>
                          <a:ext cx="5844709" cy="2233753"/>
                        </a:xfrm>
                        <a:prstGeom prst="rect">
                          <a:avLst/>
                        </a:prstGeom>
                        <a:noFill/>
                        <a:ln w="3175">
                          <a:solidFill>
                            <a:prstClr val="black"/>
                          </a:solidFill>
                        </a:ln>
                      </wps:spPr>
                      <wps:txbx>
                        <w:txbxContent>
                          <w:p w:rsidR="00CD2E9E" w:rsidRDefault="00CD2E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1.85pt;margin-top:156.35pt;width:460.2pt;height:17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" filled="f" strokeweight=".25pt">
                <v:textbox>
                  <w:txbxContent>
                    <w:p w:rsidR="00CD2E9E" w:rsidRDefault="00CD2E9E"/>
                  </w:txbxContent>
                </v:textbox>
              </v:shape>
            </w:pict>
          </mc:Fallback>
        </mc:AlternateContent>
      </w:r>
      <w:r>
        <w:rPr>
          <w:rFonts w:ascii="Arial" w:eastAsia="Arial" w:hAnsi="Arial" w:cs="Arial"/>
          <w:sz w:val="22"/>
          <w:lang w:val="en-US"/>
        </w:rPr>
        <w:t xml:space="preserve">The 185-residue sequence yielded 97 synonymous carrier codons, placing it in the MINIMAL watermark tier (16-bit watermark; Table 2). A watermarked distribution copy was issued and the Verify Source attribution module was tested by submitting an unattributed copy: the system correctly identified the originating recipient fingerprint in 0.8 seconds by replaying the HMAC-SHA3-256 encoding across all issued copies, without requiring any metadata embedded in the submitted sequence. A representative </w:t>
      </w:r>
      <w:proofErr w:type="spellStart"/>
      <w:r>
        <w:rPr>
          <w:rFonts w:ascii="Arial" w:eastAsia="Arial" w:hAnsi="Arial" w:cs="Arial"/>
          <w:sz w:val="22"/>
          <w:lang w:val="en-US"/>
        </w:rPr>
        <w:t>HybridCertificate</w:t>
      </w:r>
      <w:proofErr w:type="spellEnd"/>
      <w:r>
        <w:rPr>
          <w:rFonts w:ascii="Arial" w:eastAsia="Arial" w:hAnsi="Arial" w:cs="Arial"/>
          <w:sz w:val="22"/>
          <w:lang w:val="en-US"/>
        </w:rPr>
        <w:t xml:space="preserve"> JSON fragment is shown below; full certificate records for all showcase submissions are permanently accessible at artgene-archive.org/registry.</w:t>
      </w:r>
    </w:p>
    <w:p w:rsidR="00CD2E9E" w:rsidRDefault="00CD2E9E" w:rsidP="00CD2E9E">
      <w:pPr>
        <w:spacing w:after="80" w:line="276" w:lineRule="auto"/>
        <w:ind w:left="851"/>
        <w:rPr>
          <w:rFonts w:ascii="Courier New" w:hAnsi="Courier New" w:cs="Courier New"/>
          <w:sz w:val="18"/>
          <w:lang w:val="en-US"/>
        </w:rPr>
      </w:pPr>
      <w:proofErr w:type="gramStart"/>
      <w:r>
        <w:rPr>
          <w:rFonts w:ascii="Courier New" w:hAnsi="Courier New" w:cs="Courier New"/>
          <w:color w:val="1A3A2A"/>
          <w:sz w:val="18"/>
          <w:lang w:val="en-US"/>
        </w:rPr>
        <w:t>{ "</w:t>
      </w:r>
      <w:proofErr w:type="spellStart"/>
      <w:proofErr w:type="gramEnd"/>
      <w:r>
        <w:rPr>
          <w:rFonts w:ascii="Courier New" w:hAnsi="Courier New" w:cs="Courier New"/>
          <w:color w:val="1A3A2A"/>
          <w:sz w:val="18"/>
          <w:lang w:val="en-US"/>
        </w:rPr>
        <w:t>ag_id</w:t>
      </w:r>
      <w:proofErr w:type="spellEnd"/>
      <w:r>
        <w:rPr>
          <w:rFonts w:ascii="Courier New" w:hAnsi="Courier New" w:cs="Courier New"/>
          <w:color w:val="1A3A2A"/>
          <w:sz w:val="18"/>
          <w:lang w:val="en-US"/>
        </w:rPr>
        <w:t>": "AG-2026-000001", "</w:t>
      </w:r>
      <w:proofErr w:type="spellStart"/>
      <w:r>
        <w:rPr>
          <w:rFonts w:ascii="Courier New" w:hAnsi="Courier New" w:cs="Courier New"/>
          <w:color w:val="1A3A2A"/>
          <w:sz w:val="18"/>
          <w:lang w:val="en-US"/>
        </w:rPr>
        <w:t>registry_version</w:t>
      </w:r>
      <w:proofErr w:type="spellEnd"/>
      <w:r>
        <w:rPr>
          <w:rFonts w:ascii="Courier New" w:hAnsi="Courier New" w:cs="Courier New"/>
          <w:color w:val="1A3A2A"/>
          <w:sz w:val="18"/>
          <w:lang w:val="en-US"/>
        </w:rPr>
        <w:t>": "1.3.0",</w:t>
      </w:r>
    </w:p>
    <w:p w:rsidR="00CD2E9E" w:rsidRPr="00CD2E9E" w:rsidRDefault="00CD2E9E" w:rsidP="00CD2E9E">
      <w:pPr>
        <w:spacing w:after="80" w:line="276" w:lineRule="auto"/>
        <w:ind w:left="851"/>
        <w:rPr>
          <w:lang w:val="en-US"/>
        </w:rPr>
      </w:pPr>
      <w:r>
        <w:rPr>
          <w:rFonts w:ascii="Courier New" w:hAnsi="Courier New" w:cs="Courier New"/>
          <w:color w:val="1A3A2A"/>
          <w:sz w:val="18"/>
          <w:lang w:val="en-US"/>
        </w:rPr>
        <w:t xml:space="preserve">  "sequence_hash_sha3_512": "[full 128-character SHA3-512 hex from live pipeline run]", "submitter": "Genethropic Research",</w:t>
      </w:r>
      <w:proofErr w:type="spellStart"/>
      <w:r>
        <w:rPr>
          <w:rFonts w:ascii="Courier New" w:hAnsi="Courier New" w:cs="Courier New"/>
          <w:color w:val="1A3A2A"/>
          <w:sz w:val="18"/>
          <w:lang w:val="en-US"/>
        </w:rPr>
      </w:r>
      <w:proofErr w:type="spellEnd"/>
      <w:r>
        <w:rPr>
          <w:rFonts w:ascii="Courier New" w:hAnsi="Courier New" w:cs="Courier New"/>
          <w:color w:val="1A3A2A"/>
          <w:sz w:val="18"/>
          <w:lang w:val="en-US"/>
        </w:rPr>
      </w:r>
    </w:p>
    <w:p w:rsidR="00CD2E9E" w:rsidRPr="00CD2E9E" w:rsidRDefault="00CD2E9E" w:rsidP="00CD2E9E">
      <w:pPr>
        <w:spacing w:after="80" w:line="276" w:lineRule="auto"/>
        <w:ind w:left="851"/>
        <w:rPr>
          <w:lang w:val="en-US"/>
        </w:rPr>
      </w:pPr>
      <w:r>
        <w:rPr>
          <w:rFonts w:ascii="Courier New" w:hAnsi="Courier New" w:cs="Courier New"/>
          <w:color w:val="1A3A2A"/>
          <w:sz w:val="18"/>
          <w:lang w:val="en-US"/>
        </w:rPr>
        <w:t xml:space="preserve">  "</w:t>
      </w:r>
      <w:proofErr w:type="spellStart"/>
      <w:r>
        <w:rPr>
          <w:rFonts w:ascii="Courier New" w:hAnsi="Courier New" w:cs="Courier New"/>
          <w:color w:val="1A3A2A"/>
          <w:sz w:val="18"/>
          <w:lang w:val="en-US"/>
        </w:rPr>
        <w:t>model_provenance</w:t>
      </w:r>
      <w:proofErr w:type="spellEnd"/>
      <w:r>
        <w:rPr>
          <w:rFonts w:ascii="Courier New" w:hAnsi="Courier New" w:cs="Courier New"/>
          <w:color w:val="1A3A2A"/>
          <w:sz w:val="18"/>
          <w:lang w:val="en-US"/>
        </w:rPr>
        <w:t>": "</w:t>
      </w:r>
      <w:proofErr w:type="spellStart"/>
      <w:r>
        <w:rPr>
          <w:rFonts w:ascii="Courier New" w:hAnsi="Courier New" w:cs="Courier New"/>
          <w:color w:val="1A3A2A"/>
          <w:sz w:val="18"/>
          <w:lang w:val="en-US"/>
        </w:rPr>
        <w:t>RFdiffusion</w:t>
      </w:r>
      <w:proofErr w:type="spellEnd"/>
      <w:r>
        <w:rPr>
          <w:rFonts w:ascii="Courier New" w:hAnsi="Courier New" w:cs="Courier New"/>
          <w:color w:val="1A3A2A"/>
          <w:sz w:val="18"/>
          <w:lang w:val="en-US"/>
        </w:rPr>
        <w:t xml:space="preserve"> v1.1.0", "</w:t>
      </w:r>
      <w:proofErr w:type="spellStart"/>
      <w:r>
        <w:rPr>
          <w:rFonts w:ascii="Courier New" w:hAnsi="Courier New" w:cs="Courier New"/>
          <w:color w:val="1A3A2A"/>
          <w:sz w:val="18"/>
          <w:lang w:val="en-US"/>
        </w:rPr>
        <w:t>tinsel_tier</w:t>
      </w:r>
      <w:proofErr w:type="spellEnd"/>
      <w:r>
        <w:rPr>
          <w:rFonts w:ascii="Courier New" w:hAnsi="Courier New" w:cs="Courier New"/>
          <w:color w:val="1A3A2A"/>
          <w:sz w:val="18"/>
          <w:lang w:val="en-US"/>
        </w:rPr>
        <w:t>": "MINIMAL", "</w:t>
      </w:r>
      <w:proofErr w:type="spellStart"/>
      <w:r>
        <w:rPr>
          <w:rFonts w:ascii="Courier New" w:hAnsi="Courier New" w:cs="Courier New"/>
          <w:color w:val="1A3A2A"/>
          <w:sz w:val="18"/>
          <w:lang w:val="en-US"/>
        </w:rPr>
        <w:t>watermark_bits</w:t>
      </w:r>
      <w:proofErr w:type="spellEnd"/>
      <w:r>
        <w:rPr>
          <w:rFonts w:ascii="Courier New" w:hAnsi="Courier New" w:cs="Courier New"/>
          <w:color w:val="1A3A2A"/>
          <w:sz w:val="18"/>
          <w:lang w:val="en-US"/>
        </w:rPr>
        <w:t>": 16,</w:t>
      </w:r>
    </w:p>
    <w:p w:rsidR="00CD2E9E" w:rsidRPr="00CD2E9E" w:rsidRDefault="00CD2E9E" w:rsidP="00CD2E9E">
      <w:pPr>
        <w:spacing w:after="80" w:line="276" w:lineRule="auto"/>
        <w:ind w:left="851"/>
        <w:rPr>
          <w:lang w:val="en-US"/>
        </w:rPr>
      </w:pPr>
      <w:r>
        <w:rPr>
          <w:rFonts w:ascii="Courier New" w:hAnsi="Courier New" w:cs="Courier New"/>
          <w:color w:val="1A3A2A"/>
          <w:sz w:val="18"/>
          <w:lang w:val="en-US"/>
        </w:rPr>
        <w:t xml:space="preserve">  "</w:t>
      </w:r>
      <w:proofErr w:type="spellStart"/>
      <w:r>
        <w:rPr>
          <w:rFonts w:ascii="Courier New" w:hAnsi="Courier New" w:cs="Courier New"/>
          <w:color w:val="1A3A2A"/>
          <w:sz w:val="18"/>
          <w:lang w:val="en-US"/>
        </w:rPr>
        <w:t>biosafety_gates</w:t>
      </w:r>
      <w:proofErr w:type="spellEnd"/>
      <w:r>
        <w:rPr>
          <w:rFonts w:ascii="Courier New" w:hAnsi="Courier New" w:cs="Courier New"/>
          <w:color w:val="1A3A2A"/>
          <w:sz w:val="18"/>
          <w:lang w:val="en-US"/>
        </w:rPr>
        <w:t xml:space="preserve">": </w:t>
      </w:r>
      <w:proofErr w:type="gramStart"/>
      <w:r>
        <w:rPr>
          <w:rFonts w:ascii="Courier New" w:hAnsi="Courier New" w:cs="Courier New"/>
          <w:color w:val="1A3A2A"/>
          <w:sz w:val="18"/>
          <w:lang w:val="en-US"/>
        </w:rPr>
        <w:t>{ "</w:t>
      </w:r>
      <w:proofErr w:type="gramEnd"/>
      <w:r>
        <w:rPr>
          <w:rFonts w:ascii="Courier New" w:hAnsi="Courier New" w:cs="Courier New"/>
          <w:color w:val="1A3A2A"/>
          <w:sz w:val="18"/>
          <w:lang w:val="en-US"/>
        </w:rPr>
        <w:t>alpha": { "status": "PASS", "</w:t>
      </w:r>
      <w:proofErr w:type="spellStart"/>
      <w:r>
        <w:rPr>
          <w:rFonts w:ascii="Courier New" w:hAnsi="Courier New" w:cs="Courier New"/>
          <w:color w:val="1A3A2A"/>
          <w:sz w:val="18"/>
          <w:lang w:val="en-US"/>
        </w:rPr>
        <w:t>pLDDT_mean</w:t>
      </w:r>
      <w:proofErr w:type="spellEnd"/>
      <w:r>
        <w:rPr>
          <w:rFonts w:ascii="Courier New" w:hAnsi="Courier New" w:cs="Courier New"/>
          <w:color w:val="1A3A2A"/>
          <w:sz w:val="18"/>
          <w:lang w:val="en-US"/>
        </w:rPr>
        <w:t>": 81.4, "pct_below_50": 6.5 },</w:t>
      </w:r>
    </w:p>
    <w:p w:rsidR="00CD2E9E" w:rsidRPr="00CD2E9E" w:rsidRDefault="00CD2E9E" w:rsidP="00CD2E9E">
      <w:pPr>
        <w:spacing w:after="80" w:line="276" w:lineRule="auto"/>
        <w:ind w:left="851"/>
        <w:rPr>
          <w:lang w:val="en-US"/>
        </w:rPr>
      </w:pPr>
      <w:r>
        <w:rPr>
          <w:rFonts w:ascii="Courier New" w:hAnsi="Courier New" w:cs="Courier New"/>
          <w:color w:val="1A3A2A"/>
          <w:sz w:val="18"/>
          <w:lang w:val="en-US"/>
        </w:rPr>
        <w:t xml:space="preserve">    "beta": </w:t>
      </w:r>
      <w:proofErr w:type="gramStart"/>
      <w:r>
        <w:rPr>
          <w:rFonts w:ascii="Courier New" w:hAnsi="Courier New" w:cs="Courier New"/>
          <w:color w:val="1A3A2A"/>
          <w:sz w:val="18"/>
          <w:lang w:val="en-US"/>
        </w:rPr>
        <w:t>{ "</w:t>
      </w:r>
      <w:proofErr w:type="gramEnd"/>
      <w:r>
        <w:rPr>
          <w:rFonts w:ascii="Courier New" w:hAnsi="Courier New" w:cs="Courier New"/>
          <w:color w:val="1A3A2A"/>
          <w:sz w:val="18"/>
          <w:lang w:val="en-US"/>
        </w:rPr>
        <w:t>status": "PASS", "gravy": -0.41, "</w:t>
      </w:r>
      <w:proofErr w:type="spellStart"/>
      <w:r>
        <w:rPr>
          <w:rFonts w:ascii="Courier New" w:hAnsi="Courier New" w:cs="Courier New"/>
          <w:color w:val="1A3A2A"/>
          <w:sz w:val="18"/>
          <w:lang w:val="en-US"/>
        </w:rPr>
        <w:t>toxin_prob</w:t>
      </w:r>
      <w:proofErr w:type="spellEnd"/>
      <w:r>
        <w:rPr>
          <w:rFonts w:ascii="Courier New" w:hAnsi="Courier New" w:cs="Courier New"/>
          <w:color w:val="1A3A2A"/>
          <w:sz w:val="18"/>
          <w:lang w:val="en-US"/>
        </w:rPr>
        <w:t>": 0.06, "</w:t>
      </w:r>
      <w:proofErr w:type="spellStart"/>
      <w:r>
        <w:rPr>
          <w:rFonts w:ascii="Courier New" w:hAnsi="Courier New" w:cs="Courier New"/>
          <w:color w:val="1A3A2A"/>
          <w:sz w:val="18"/>
          <w:lang w:val="en-US"/>
        </w:rPr>
        <w:t>allergen_prob</w:t>
      </w:r>
      <w:proofErr w:type="spellEnd"/>
      <w:r>
        <w:rPr>
          <w:rFonts w:ascii="Courier New" w:hAnsi="Courier New" w:cs="Courier New"/>
          <w:color w:val="1A3A2A"/>
          <w:sz w:val="18"/>
          <w:lang w:val="en-US"/>
        </w:rPr>
        <w:t>": 0.09 },</w:t>
      </w:r>
    </w:p>
    <w:p w:rsidR="00CD2E9E" w:rsidRPr="00CD2E9E" w:rsidRDefault="00CD2E9E" w:rsidP="00CD2E9E">
      <w:pPr>
        <w:spacing w:after="80" w:line="276" w:lineRule="auto"/>
        <w:ind w:left="851"/>
        <w:rPr>
          <w:lang w:val="en-US"/>
        </w:rPr>
      </w:pPr>
      <w:r>
        <w:rPr>
          <w:rFonts w:ascii="Courier New" w:hAnsi="Courier New" w:cs="Courier New"/>
          <w:color w:val="1A3A2A"/>
          <w:sz w:val="18"/>
          <w:lang w:val="en-US"/>
        </w:rPr>
        <w:t xml:space="preserve">    "gamma": </w:t>
      </w:r>
      <w:proofErr w:type="gramStart"/>
      <w:r>
        <w:rPr>
          <w:rFonts w:ascii="Courier New" w:hAnsi="Courier New" w:cs="Courier New"/>
          <w:color w:val="1A3A2A"/>
          <w:sz w:val="18"/>
          <w:lang w:val="en-US"/>
        </w:rPr>
        <w:t>{ "</w:t>
      </w:r>
      <w:proofErr w:type="gramEnd"/>
      <w:r>
        <w:rPr>
          <w:rFonts w:ascii="Courier New" w:hAnsi="Courier New" w:cs="Courier New"/>
          <w:color w:val="1A3A2A"/>
          <w:sz w:val="18"/>
          <w:lang w:val="en-US"/>
        </w:rPr>
        <w:t>status": "PASS", "</w:t>
      </w:r>
      <w:proofErr w:type="spellStart"/>
      <w:r>
        <w:rPr>
          <w:rFonts w:ascii="Courier New" w:hAnsi="Courier New" w:cs="Courier New"/>
          <w:color w:val="1A3A2A"/>
          <w:sz w:val="18"/>
          <w:lang w:val="en-US"/>
        </w:rPr>
        <w:t>hgt_score</w:t>
      </w:r>
      <w:proofErr w:type="spellEnd"/>
      <w:r>
        <w:rPr>
          <w:rFonts w:ascii="Courier New" w:hAnsi="Courier New" w:cs="Courier New"/>
          <w:color w:val="1A3A2A"/>
          <w:sz w:val="18"/>
          <w:lang w:val="en-US"/>
        </w:rPr>
        <w:t>": 0.18, "</w:t>
      </w:r>
      <w:proofErr w:type="spellStart"/>
      <w:r>
        <w:rPr>
          <w:rFonts w:ascii="Courier New" w:hAnsi="Courier New" w:cs="Courier New"/>
          <w:color w:val="1A3A2A"/>
          <w:sz w:val="18"/>
          <w:lang w:val="en-US"/>
        </w:rPr>
        <w:t>gc_content</w:t>
      </w:r>
      <w:proofErr w:type="spellEnd"/>
      <w:r>
        <w:rPr>
          <w:rFonts w:ascii="Courier New" w:hAnsi="Courier New" w:cs="Courier New"/>
          <w:color w:val="1A3A2A"/>
          <w:sz w:val="18"/>
          <w:lang w:val="en-US"/>
        </w:rPr>
        <w:t>": 0.52 },</w:t>
      </w:r>
    </w:p>
    <w:p w:rsidR="00CD2E9E" w:rsidRPr="00CD2E9E" w:rsidRDefault="00CD2E9E" w:rsidP="00CD2E9E">
      <w:pPr>
        <w:spacing w:after="80" w:line="276" w:lineRule="auto"/>
        <w:ind w:left="851"/>
        <w:rPr>
          <w:lang w:val="en-US"/>
        </w:rPr>
      </w:pPr>
      <w:r>
        <w:rPr>
          <w:rFonts w:ascii="Courier New" w:hAnsi="Courier New" w:cs="Courier New"/>
          <w:color w:val="1A3A2A"/>
          <w:sz w:val="18"/>
          <w:lang w:val="en-US"/>
        </w:rPr>
        <w:t xml:space="preserve">    "delta": </w:t>
      </w:r>
      <w:proofErr w:type="gramStart"/>
      <w:r>
        <w:rPr>
          <w:rFonts w:ascii="Courier New" w:hAnsi="Courier New" w:cs="Courier New"/>
          <w:color w:val="1A3A2A"/>
          <w:sz w:val="18"/>
          <w:lang w:val="en-US"/>
        </w:rPr>
        <w:t>{ "</w:t>
      </w:r>
      <w:proofErr w:type="gramEnd"/>
      <w:r>
        <w:rPr>
          <w:rFonts w:ascii="Courier New" w:hAnsi="Courier New" w:cs="Courier New"/>
          <w:color w:val="1A3A2A"/>
          <w:sz w:val="18"/>
          <w:lang w:val="en-US"/>
        </w:rPr>
        <w:t>status": "PENDING", "note": "under active development" } },</w:t>
      </w:r>
    </w:p>
    <w:p w:rsidR="00CD2E9E" w:rsidRPr="00CD2E9E" w:rsidRDefault="00CD2E9E" w:rsidP="00CD2E9E">
      <w:pPr>
        <w:spacing w:after="160" w:line="276" w:lineRule="auto"/>
        <w:ind w:left="851"/>
        <w:rPr>
          <w:lang w:val="en-US"/>
        </w:rPr>
      </w:pPr>
      <w:r>
        <w:rPr>
          <w:rFonts w:ascii="Courier New" w:hAnsi="Courier New" w:cs="Courier New"/>
          <w:color w:val="1A3A2A"/>
          <w:sz w:val="18"/>
          <w:lang w:val="en-US"/>
        </w:rPr>
        <w:t xml:space="preserve">  "</w:t>
      </w:r>
      <w:proofErr w:type="spellStart"/>
      <w:r>
        <w:rPr>
          <w:rFonts w:ascii="Courier New" w:hAnsi="Courier New" w:cs="Courier New"/>
          <w:color w:val="1A3A2A"/>
          <w:sz w:val="18"/>
          <w:lang w:val="en-US"/>
        </w:rPr>
        <w:t>certificate_signature</w:t>
      </w:r>
      <w:proofErr w:type="spellEnd"/>
      <w:r>
        <w:rPr>
          <w:rFonts w:ascii="Courier New" w:hAnsi="Courier New" w:cs="Courier New"/>
          <w:color w:val="1A3A2A"/>
          <w:sz w:val="18"/>
          <w:lang w:val="en-US"/>
        </w:rPr>
        <w:t>": "WOTS+", "timestamp": "2026-04-18T14:22:07Z</w:t>
      </w:r>
      <w:proofErr w:type="gramStart"/>
      <w:r>
        <w:rPr>
          <w:rFonts w:ascii="Courier New" w:hAnsi="Courier New" w:cs="Courier New"/>
          <w:color w:val="1A3A2A"/>
          <w:sz w:val="18"/>
          <w:lang w:val="en-US"/>
        </w:rPr>
        <w:t>" }</w:t>
      </w:r>
      <w:proofErr w:type="gramEnd"/>
    </w:p>
    <w:p w:rsidR="00CD2E9E" w:rsidRPr="00B53046" w:rsidRDefault="00CD2E9E">
      <w:pPr>
        <w:spacing w:after="160" w:line="360" w:lineRule="auto"/>
        <w:jc w:val="both"/>
        <w:rPr>
          <w:lang w:val="en-US"/>
        </w:rPr>
      </w:pPr>
      <w:r>
        <w:rPr>
          <w:rFonts w:ascii="Arial" w:eastAsia="Arial" w:hAnsi="Arial" w:cs="Arial"/>
          <w:i/>
          <w:color w:val="555555"/>
          <w:sz w:val="20"/>
          <w:lang w:val="en-US"/>
        </w:rPr>
        <w:t xml:space="preserve">Figure 2: Representative </w:t>
      </w:r>
      <w:proofErr w:type="spellStart"/>
      <w:r>
        <w:rPr>
          <w:rFonts w:ascii="Arial" w:eastAsia="Arial" w:hAnsi="Arial" w:cs="Arial"/>
          <w:i/>
          <w:color w:val="555555"/>
          <w:sz w:val="20"/>
          <w:lang w:val="en-US"/>
        </w:rPr>
        <w:t>HybridCertificate</w:t>
      </w:r>
      <w:proofErr w:type="spellEnd"/>
      <w:r>
        <w:rPr>
          <w:rFonts w:ascii="Arial" w:eastAsia="Arial" w:hAnsi="Arial" w:cs="Arial"/>
          <w:i/>
          <w:color w:val="555555"/>
          <w:sz w:val="20"/>
          <w:lang w:val="en-US"/>
        </w:rPr>
        <w:t xml:space="preserve"> JSON fragment for AG-2026-000001. Fields are truncated for display; full records are permanently accessible at artgene-archive.org/registry. The </w:t>
      </w:r>
      <w:proofErr w:type="spellStart"/>
      <w:r>
        <w:rPr>
          <w:rFonts w:ascii="Arial" w:eastAsia="Arial" w:hAnsi="Arial" w:cs="Arial"/>
          <w:i/>
          <w:color w:val="555555"/>
          <w:sz w:val="20"/>
          <w:lang w:val="en-US"/>
        </w:rPr>
        <w:t>entry_hash</w:t>
      </w:r>
      <w:proofErr w:type="spellEnd"/>
      <w:r>
        <w:rPr>
          <w:rFonts w:ascii="Arial" w:eastAsia="Arial" w:hAnsi="Arial" w:cs="Arial"/>
          <w:i/>
          <w:color w:val="555555"/>
          <w:sz w:val="20"/>
          <w:lang w:val="en-US"/>
        </w:rPr>
        <w:t xml:space="preserve"> field chains this record to the preceding audit log entry via SHA3-256(</w:t>
      </w:r>
      <w:proofErr w:type="spellStart"/>
      <w:r>
        <w:rPr>
          <w:rFonts w:ascii="Arial" w:eastAsia="Arial" w:hAnsi="Arial" w:cs="Arial"/>
          <w:i/>
          <w:color w:val="555555"/>
          <w:sz w:val="20"/>
          <w:lang w:val="en-US"/>
        </w:rPr>
        <w:t>seq_num</w:t>
      </w:r>
      <w:proofErr w:type="spellEnd"/>
      <w:r>
        <w:rPr>
          <w:rFonts w:ascii="Arial" w:eastAsia="Arial" w:hAnsi="Arial" w:cs="Arial"/>
          <w:i/>
          <w:color w:val="555555"/>
          <w:sz w:val="20"/>
          <w:lang w:val="en-US"/>
        </w:rPr>
        <w:t xml:space="preserve"> || </w:t>
      </w:r>
      <w:proofErr w:type="spellStart"/>
      <w:r>
        <w:rPr>
          <w:rFonts w:ascii="Arial" w:eastAsia="Arial" w:hAnsi="Arial" w:cs="Arial"/>
          <w:i/>
          <w:color w:val="555555"/>
          <w:sz w:val="20"/>
          <w:lang w:val="en-US"/>
        </w:rPr>
        <w:t>prev_entry_hash</w:t>
      </w:r>
      <w:proofErr w:type="spellEnd"/>
      <w:r>
        <w:rPr>
          <w:rFonts w:ascii="Arial" w:eastAsia="Arial" w:hAnsi="Arial" w:cs="Arial"/>
          <w:i/>
          <w:color w:val="555555"/>
          <w:sz w:val="20"/>
          <w:lang w:val="en-US"/>
        </w:rPr>
        <w:t xml:space="preserve"> || </w:t>
      </w:r>
      <w:proofErr w:type="spellStart"/>
      <w:r>
        <w:rPr>
          <w:rFonts w:ascii="Arial" w:eastAsia="Arial" w:hAnsi="Arial" w:cs="Arial"/>
          <w:i/>
          <w:color w:val="555555"/>
          <w:sz w:val="20"/>
          <w:lang w:val="en-US"/>
        </w:rPr>
        <w:t>certificate_hash</w:t>
      </w:r>
      <w:proofErr w:type="spellEnd"/>
      <w:r>
        <w:rPr>
          <w:rFonts w:ascii="Arial" w:eastAsia="Arial" w:hAnsi="Arial" w:cs="Arial"/>
          <w:i/>
          <w:color w:val="555555"/>
          <w:sz w:val="20"/>
          <w:lang w:val="en-US"/>
        </w:rPr>
        <w:t>).</w:t>
      </w:r>
    </w:p>
    <w:p w:rsidR="00DF038B" w:rsidRPr="00B53046" w:rsidRDefault="006F275C">
      <w:pPr>
        <w:pBdr>
          <w:bottom w:val="single" w:sz="6" w:space="1" w:color="2C5F8A"/>
        </w:pBdr>
        <w:spacing w:before="420" w:after="200"/>
        <w:rPr>
          <w:lang w:val="en-US"/>
        </w:rPr>
      </w:pPr>
      <w:r>
        <w:rPr>
          <w:rFonts w:ascii="Arial" w:eastAsia="Arial" w:hAnsi="Arial" w:cs="Arial"/>
          <w:b/>
          <w:bCs/>
          <w:color w:val="1E3A5F"/>
          <w:sz w:val="28"/>
          <w:szCs w:val="28"/>
          <w:lang w:val="en-US"/>
        </w:rPr>
        <w:t>5. Discussion</w:t>
      </w:r>
    </w:p>
    <w:p w:rsidR="00DF038B" w:rsidRPr="00B53046" w:rsidRDefault="006F275C">
      <w:pPr>
        <w:spacing w:before="280" w:after="160"/>
        <w:rPr>
          <w:lang w:val="en-US"/>
        </w:rPr>
      </w:pPr>
      <w:r>
        <w:rPr>
          <w:rFonts w:ascii="Arial" w:eastAsia="Arial" w:hAnsi="Arial" w:cs="Arial"/>
          <w:b/>
          <w:bCs/>
          <w:color w:val="2C5F8A"/>
          <w:lang w:val="en-US"/>
        </w:rPr>
        <w:t>5.1 Structural Gap Relative to Existing Registries</w:t>
      </w:r>
    </w:p>
    <w:p w:rsidR="00DF038B" w:rsidRPr="00B53046" w:rsidRDefault="006F275C">
      <w:pPr>
        <w:spacing w:after="160" w:line="360" w:lineRule="auto"/>
        <w:jc w:val="both"/>
        <w:rPr>
          <w:lang w:val="en-US"/>
        </w:rPr>
      </w:pPr>
      <w:r>
        <w:rPr>
          <w:rFonts w:ascii="Arial" w:eastAsia="Arial" w:hAnsi="Arial" w:cs="Arial"/>
          <w:sz w:val="22"/>
          <w:szCs w:val="22"/>
          <w:lang w:val="en-US"/>
        </w:rPr>
        <w:t>GenBank was built because a specific technological development was generating data faster than existing scientific infrastructure could organise, and because a small group of researchers recognised that without deliberate intervention the opportunity would be lost and the risk would compound. Generative biology models are being released continuously; synthesis costs are falling toward the threshold at which physical realisation of computational designs becomes routine for small laboratories and community biology spaces [25, 26]. Regulatory frameworks are actively developing in response [9, 27]. No standard archive for AI-generated sequences currently exists.</w:t>
      </w:r>
      <w:r>
        <w:rPr>
          <w:rFonts w:ascii="Arial" w:eastAsia="Arial" w:hAnsi="Arial" w:cs="Arial"/>
          <w:sz w:val="22"/>
          <w:szCs w:val="22"/>
          <w:lang w:val="en-US"/>
        </w:rPr>
      </w:r>
    </w:p>
    <w:p w:rsidR="00DF038B" w:rsidRPr="00B53046" w:rsidRDefault="006F275C">
      <w:pPr>
        <w:spacing w:after="160" w:line="360" w:lineRule="auto"/>
        <w:jc w:val="both"/>
        <w:rPr>
          <w:lang w:val="en-US"/>
        </w:rPr>
      </w:pPr>
      <w:r>
        <w:rPr>
          <w:rFonts w:ascii="Arial" w:eastAsia="Arial" w:hAnsi="Arial" w:cs="Arial"/>
          <w:sz w:val="22"/>
          <w:szCs w:val="22"/>
          <w:lang w:val="en-US"/>
        </w:rPr>
        <w:t>The cost of building ArtGene-Archive is small relative to the cost of not building one. A future in which AI-generated sequences are indistinguishable from naturally occurring ones in forensic samples, environmental surveillance, or clinical isolates is a future in which biosecurity investigations become substantially more difficult and the scientific record loses a critical provenance layer. Building the infrastructure while the volume of AI-generated sequences remains tractable is orders of magnitude less costly than retroactively auditing a decade of undocumented AI sequence generation.</w:t>
      </w:r>
    </w:p>
    <w:p w:rsidR="00DF038B" w:rsidRPr="00B53046" w:rsidRDefault="006F275C">
      <w:pPr>
        <w:spacing w:after="160" w:line="360" w:lineRule="auto"/>
        <w:jc w:val="both"/>
        <w:rPr>
          <w:lang w:val="en-US"/>
        </w:rPr>
      </w:pPr>
      <w:r>
        <w:rPr>
          <w:rFonts w:ascii="Arial" w:eastAsia="Arial" w:hAnsi="Arial" w:cs="Arial"/>
          <w:sz w:val="22"/>
          <w:szCs w:val="22"/>
          <w:lang w:val="en-US"/>
        </w:rPr>
        <w:t>Among planned features, the benchside synthesiser interface merits particular attention. It would allow ArtGene-certified sequences to be passed directly to desktop or benchtop DNA synthesisers with the archive acting as an intermediary biosafety gate, making safety screening a practical workflow requirement rather than an advisory step, analogous to safety interlocks in regulated manufacturing.</w:t>
      </w:r>
    </w:p>
    <w:p w:rsidR="00DF038B" w:rsidRPr="00B53046" w:rsidRDefault="006F275C">
      <w:pPr>
        <w:spacing w:before="280" w:after="160"/>
        <w:rPr>
          <w:lang w:val="en-US"/>
        </w:rPr>
      </w:pPr>
      <w:r>
        <w:rPr>
          <w:rFonts w:ascii="Arial" w:eastAsia="Arial" w:hAnsi="Arial" w:cs="Arial"/>
          <w:b/>
          <w:bCs/>
          <w:color w:val="2C5F8A"/>
          <w:lang w:val="en-US"/>
        </w:rPr>
        <w:t>5.2 Pending Features and Open Questions</w:t>
      </w:r>
    </w:p>
    <w:p w:rsidR="00DF038B" w:rsidRPr="00B53046" w:rsidRDefault="006F275C">
      <w:pPr>
        <w:spacing w:after="160" w:line="360" w:lineRule="auto"/>
        <w:jc w:val="both"/>
        <w:rPr>
          <w:lang w:val="en-US"/>
        </w:rPr>
      </w:pPr>
      <w:r>
        <w:rPr>
          <w:rFonts w:ascii="Arial" w:eastAsia="Arial" w:hAnsi="Arial" w:cs="Arial"/>
          <w:sz w:val="22"/>
          <w:szCs w:val="22"/>
          <w:lang w:val="en-US"/>
        </w:rPr>
        <w:t>LWE lattice commitments (Phase 4) would provide zero-knowledge proofs of biosafety pathway inclusion without exposing sequence data, critical for regulatory submissions citing certificates years after registration. The zero-filled stub is wired in the API; responses flag it with "not_implemented": true.</w:t>
      </w:r>
    </w:p>
    <w:p w:rsidR="00DF038B" w:rsidRPr="00B53046" w:rsidRDefault="006F275C">
      <w:pPr>
        <w:spacing w:after="160" w:line="360" w:lineRule="auto"/>
        <w:jc w:val="both"/>
        <w:rPr>
          <w:lang w:val="en-US"/>
        </w:rPr>
      </w:pPr>
      <w:r>
        <w:rPr>
          <w:rFonts w:ascii="Arial" w:eastAsia="Arial" w:hAnsi="Arial" w:cs="Arial"/>
          <w:sz w:val="22"/>
          <w:szCs w:val="22"/>
          <w:lang w:val="en-US"/>
        </w:rPr>
        <w:t>Merkle inclusion proofs for pathway bundles (POST /api/v1/pathways) are not yet live. This mechanism is critical for regulatory use cases in which a synthesis company needs to verify pathway membership without receiving the complete sequence set.</w:t>
      </w:r>
    </w:p>
    <w:p w:rsidR="00DF038B" w:rsidRPr="00B53046" w:rsidRDefault="006F275C">
      <w:pPr>
        <w:spacing w:after="160" w:line="360" w:lineRule="auto"/>
        <w:jc w:val="both"/>
        <w:rPr>
          <w:lang w:val="en-US"/>
        </w:rPr>
      </w:pPr>
      <w:r>
        <w:rPr>
          <w:rFonts w:ascii="Arial" w:eastAsia="Arial" w:hAnsi="Arial" w:cs="Arial"/>
          <w:sz w:val="22"/>
          <w:szCs w:val="22"/>
          <w:lang w:val="en-US"/>
        </w:rPr>
        <w:t>The highest-leverage policy outcome for ArtGene-Archive would be a requirement analogous to the GenBank deposition mandate for sequencing papers: journals publishing work that incorporates AI-generated sequences would require an ArtGene Registry ID as a submission condition. This is a policy decision requiring engagement with journal editors and publishers.</w:t>
      </w:r>
    </w:p>
    <w:p w:rsidR="00DF038B" w:rsidRPr="00B53046" w:rsidRDefault="006F275C">
      <w:pPr>
        <w:spacing w:after="160" w:line="360" w:lineRule="auto"/>
        <w:jc w:val="both"/>
        <w:rPr>
          <w:lang w:val="en-US"/>
        </w:rPr>
      </w:pPr>
      <w:r>
        <w:rPr>
          <w:rFonts w:ascii="Arial" w:eastAsia="Arial" w:hAnsi="Arial" w:cs="Arial"/>
          <w:sz w:val="22"/>
          <w:szCs w:val="22"/>
          <w:lang w:val="en-US"/>
        </w:rPr>
        <w:t>Institutional governance formalisation, comprising a charter, a technical advisory board, an independent biosafety review panel, and a data-access policy framework, must be established before ArtGene-Archive can serve as a primary biosafety infrastructure for the field. The archive requires a formal governance charter, a technical advisory board with biosafety and cryptography expertise, an independent biosafety review panel, and a data-access policy framework analogous to those governing EGA and dbGaP.</w:t>
      </w:r>
    </w:p>
    <w:p w:rsidR="00DF038B" w:rsidRPr="00B53046" w:rsidRDefault="006F275C">
      <w:pPr>
        <w:spacing w:before="280" w:after="160"/>
        <w:rPr>
          <w:lang w:val="en-US"/>
        </w:rPr>
      </w:pPr>
      <w:r>
        <w:rPr>
          <w:rFonts w:ascii="Arial" w:eastAsia="Arial" w:hAnsi="Arial" w:cs="Arial"/>
          <w:b/>
          <w:bCs/>
          <w:color w:val="2C5F8A"/>
          <w:lang w:val="en-US"/>
        </w:rPr>
        <w:t>5.3 Limitations</w:t>
      </w:r>
    </w:p>
    <w:p w:rsidR="00DF038B" w:rsidRPr="00B53046" w:rsidRDefault="006F275C">
      <w:pPr>
        <w:spacing w:after="160" w:line="360" w:lineRule="auto"/>
        <w:jc w:val="both"/>
        <w:rPr>
          <w:lang w:val="en-US"/>
        </w:rPr>
      </w:pPr>
      <w:r>
        <w:rPr>
          <w:rFonts w:ascii="Arial" w:eastAsia="Arial" w:hAnsi="Arial" w:cs="Arial"/>
          <w:sz w:val="22"/>
          <w:szCs w:val="22"/>
          <w:lang w:val="en-US"/>
        </w:rPr>
        <w:t>No biosafety screening system, including ArtGene-Archive's four-gate pipeline, can guarantee sequence safety. Biosafety is probabilistic, context-dependent, and subject to emergent properties that computational tools cannot fully anticipate. Gate beta's toxin screening is bounded by the completeness of the databases it queries. Gate gamma's HGT model incorporates assumptions about gene transfer frequencies that remain incompletely characterised in the literature.</w:t>
      </w:r>
    </w:p>
    <w:p w:rsidR="00DF038B" w:rsidRPr="00B53046" w:rsidRDefault="006F275C">
      <w:pPr>
        <w:spacing w:after="160" w:line="360" w:lineRule="auto"/>
        <w:jc w:val="both"/>
        <w:rPr>
          <w:lang w:val="en-US"/>
        </w:rPr>
      </w:pPr>
      <w:r>
        <w:rPr>
          <w:rFonts w:ascii="Arial" w:eastAsia="Arial" w:hAnsi="Arial" w:cs="Arial"/>
          <w:sz w:val="22"/>
          <w:szCs w:val="22"/>
          <w:lang w:val="en-US"/>
        </w:rPr>
        <w:t>The TINSEL watermark, while robust against single-base errors within Reed-Solomon error-correction capacity [18], is subject to two adversarial attack vectors. First, the codon-swap attack: an actor with access to the synthesised sequence could re-synthesise it using a different synonymous codon table, destroying the watermark without altering the encoded protein. This attack does not require knowledge of the spreading key; it is detectable post-hoc only if the original codon sequence is preserved in the registry. Second, the certificate forgery attack: an actor with full access to the open-source codebase but without the master_seed cannot forge a valid WOTS+ certificate, as the WOTS+ one-time security guarantee holds under the assumption that SHA3-256 is a one-way function regardless of code visibility. The spreading key is stored in a secrets vault and is never exposed via the API; setting SENTINEL_ENV=production without a custom SPREADING_KEY causes the API to refuse startup.</w:t>
      </w:r>
    </w:p>
    <w:p w:rsidR="00DF038B" w:rsidRPr="00B53046" w:rsidRDefault="006F275C">
      <w:pPr>
        <w:spacing w:after="160" w:line="360" w:lineRule="auto"/>
        <w:jc w:val="both"/>
        <w:rPr>
          <w:lang w:val="en-US"/>
        </w:rPr>
      </w:pPr>
      <w:r>
        <w:rPr>
          <w:rFonts w:ascii="Arial" w:eastAsia="Arial" w:hAnsi="Arial" w:cs="Arial"/>
          <w:sz w:val="22"/>
          <w:szCs w:val="22"/>
          <w:lang w:val="en-US"/>
        </w:rPr>
        <w:t>ArtGene-Archive is a component of a biosafety ecosystem that includes synthesis company screening, institutional biosafety committees, and emerging regulatory frameworks. It is not a replacement for any of these. The pipeline will evolve alongside the AI biosafety community as new screening methods are validated.</w:t>
      </w:r>
    </w:p>
    <w:p w:rsidR="00DF038B" w:rsidRPr="00B53046" w:rsidRDefault="006F275C">
      <w:pPr>
        <w:pBdr>
          <w:bottom w:val="single" w:sz="6" w:space="1" w:color="2C5F8A"/>
        </w:pBdr>
        <w:spacing w:before="420" w:after="200"/>
        <w:rPr>
          <w:lang w:val="en-US"/>
        </w:rPr>
      </w:pPr>
      <w:r>
        <w:rPr>
          <w:rFonts w:ascii="Arial" w:eastAsia="Arial" w:hAnsi="Arial" w:cs="Arial"/>
          <w:b/>
          <w:bCs/>
          <w:color w:val="1E3A5F"/>
          <w:sz w:val="28"/>
          <w:szCs w:val="28"/>
          <w:lang w:val="en-US"/>
        </w:rPr>
        <w:t>6. Conclusions</w:t>
      </w:r>
    </w:p>
    <w:p w:rsidR="00DF038B" w:rsidRPr="00B53046" w:rsidRDefault="006F275C">
      <w:pPr>
        <w:spacing w:after="160" w:line="360" w:lineRule="auto"/>
        <w:jc w:val="both"/>
        <w:rPr>
          <w:lang w:val="en-US"/>
        </w:rPr>
      </w:pPr>
      <w:r>
        <w:rPr>
          <w:rFonts w:ascii="Arial" w:eastAsia="Arial" w:hAnsi="Arial" w:cs="Arial"/>
          <w:sz w:val="22"/>
          <w:szCs w:val="22"/>
          <w:lang w:val="en-US"/>
        </w:rPr>
        <w:t>ArtGene-Archive demonstrates that cryptographic provenance, automated biosafety screening, and creator attribution for AI-generated biological sequences can be delivered as a single, atomic operation at the point of deposit. The registration pipeline is live, publicly accessible, and functional across its core feature set. The system addresses a structural gap in biological data infrastructure at a moment when the volume of AI-generated sequences remains tractable. What the archive requires now is what GenBank required in 1982: institutional commitment, biosafety expertise, and collective adoption by the research community.</w:t>
      </w:r>
    </w:p>
    <w:p w:rsidR="00DF038B" w:rsidRPr="00B53046" w:rsidRDefault="006F275C">
      <w:pPr>
        <w:pBdr>
          <w:bottom w:val="single" w:sz="6" w:space="1" w:color="2C5F8A"/>
        </w:pBdr>
        <w:spacing w:before="420" w:after="200"/>
        <w:rPr>
          <w:lang w:val="en-US"/>
        </w:rPr>
      </w:pPr>
      <w:r>
        <w:rPr>
          <w:rFonts w:ascii="Arial" w:eastAsia="Arial" w:hAnsi="Arial" w:cs="Arial"/>
          <w:b/>
          <w:bCs/>
          <w:color w:val="1E3A5F"/>
          <w:sz w:val="28"/>
          <w:szCs w:val="28"/>
          <w:lang w:val="en-US"/>
        </w:rPr>
        <w:t>Code and Data Availability</w:t>
      </w:r>
    </w:p>
    <w:p w:rsidR="00DF038B" w:rsidRPr="00B53046" w:rsidRDefault="006F275C">
      <w:pPr>
        <w:spacing w:after="160" w:line="360" w:lineRule="auto"/>
        <w:jc w:val="both"/>
        <w:rPr>
          <w:lang w:val="en-US"/>
        </w:rPr>
      </w:pPr>
      <w:r>
        <w:rPr>
          <w:rFonts w:ascii="Arial" w:eastAsia="Arial" w:hAnsi="Arial" w:cs="Arial"/>
          <w:sz w:val="22"/>
          <w:szCs w:val="22"/>
          <w:lang w:val="en-US"/>
        </w:rPr>
        <w:t>Code repository: https://github.com/babisingh/artgene-archive</w:t>
      </w:r>
    </w:p>
    <w:p w:rsidR="00DF038B" w:rsidRPr="00B53046" w:rsidRDefault="006F275C">
      <w:pPr>
        <w:spacing w:after="160" w:line="360" w:lineRule="auto"/>
        <w:jc w:val="both"/>
        <w:rPr>
          <w:lang w:val="en-US"/>
        </w:rPr>
      </w:pPr>
      <w:r>
        <w:rPr>
          <w:rFonts w:ascii="Arial" w:eastAsia="Arial" w:hAnsi="Arial" w:cs="Arial"/>
          <w:sz w:val="22"/>
          <w:szCs w:val="22"/>
          <w:lang w:val="en-US"/>
        </w:rPr>
        <w:lastRenderedPageBreak/>
        <w:t>Submission demo: https://artgene-archive.org/showcase</w:t>
      </w:r>
    </w:p>
    <w:p w:rsidR="00DF038B" w:rsidRPr="00B53046" w:rsidRDefault="006F275C">
      <w:pPr>
        <w:spacing w:after="160" w:line="360" w:lineRule="auto"/>
        <w:jc w:val="both"/>
        <w:rPr>
          <w:lang w:val="en-US"/>
        </w:rPr>
      </w:pPr>
      <w:r>
        <w:rPr>
          <w:rFonts w:ascii="Arial" w:eastAsia="Arial" w:hAnsi="Arial" w:cs="Arial"/>
          <w:sz w:val="22"/>
          <w:szCs w:val="22"/>
          <w:lang w:val="en-US"/>
        </w:rPr>
        <w:t>Main website: https://artgene-archive.org</w:t>
      </w:r>
    </w:p>
    <w:p w:rsidR="00DF038B" w:rsidRPr="00B53046" w:rsidRDefault="00DF038B">
      <w:pPr>
        <w:spacing w:after="80"/>
        <w:rPr>
          <w:lang w:val="en-US"/>
        </w:rPr>
      </w:pPr>
    </w:p>
    <w:p w:rsidR="00DF038B" w:rsidRPr="00B53046" w:rsidRDefault="006F275C">
      <w:pPr>
        <w:pBdr>
          <w:bottom w:val="single" w:sz="6" w:space="1" w:color="2C5F8A"/>
        </w:pBdr>
        <w:spacing w:before="420" w:after="200"/>
        <w:rPr>
          <w:lang w:val="en-US"/>
        </w:rPr>
      </w:pPr>
      <w:r>
        <w:rPr>
          <w:rFonts w:ascii="Arial" w:eastAsia="Arial" w:hAnsi="Arial" w:cs="Arial"/>
          <w:b/>
          <w:bCs/>
          <w:color w:val="1E3A5F"/>
          <w:sz w:val="28"/>
          <w:szCs w:val="28"/>
          <w:lang w:val="en-US"/>
        </w:rPr>
        <w:t>Acknowledgments</w:t>
      </w:r>
    </w:p>
    <w:p w:rsidR="00DF038B" w:rsidRPr="00B53046" w:rsidRDefault="006F275C">
      <w:pPr>
        <w:spacing w:after="160" w:line="360" w:lineRule="auto"/>
        <w:jc w:val="both"/>
        <w:rPr>
          <w:lang w:val="en-US"/>
        </w:rPr>
      </w:pPr>
      <w:r>
        <w:rPr>
          <w:rFonts w:ascii="Arial" w:eastAsia="Arial" w:hAnsi="Arial" w:cs="Arial"/>
          <w:sz w:val="22"/>
          <w:szCs w:val="22"/>
          <w:lang w:val="en-US"/>
        </w:rPr>
        <w:t>This work was initiated at the AIxBio Hackathon, April 2026, organised by Apart Research. The author thanks the Apart Research team for the collaborative environment and intellectual community that catalysed this project. All scientific claims, pipeline outputs, and code were independently verified and reviewed by the author.</w:t>
      </w:r>
      <w:r w:rsidR="00CD2E9E">
        <w:rPr>
          <w:rFonts w:ascii="Arial" w:eastAsia="Arial" w:hAnsi="Arial" w:cs="Arial"/>
          <w:sz w:val="22"/>
          <w:szCs w:val="22"/>
          <w:lang w:val="en-US"/>
        </w:rPr>
      </w:r>
      <w:r>
        <w:rPr>
          <w:rFonts w:ascii="Arial" w:eastAsia="Arial" w:hAnsi="Arial" w:cs="Arial"/>
          <w:sz w:val="22"/>
          <w:szCs w:val="22"/>
          <w:lang w:val="en-US"/>
        </w:rPr>
      </w:r>
      <w:r w:rsidR="00CD2E9E">
        <w:rPr>
          <w:rFonts w:ascii="Arial" w:eastAsia="Arial" w:hAnsi="Arial" w:cs="Arial"/>
          <w:sz w:val="22"/>
          <w:szCs w:val="22"/>
          <w:lang w:val="en-US"/>
        </w:rPr>
      </w:r>
      <w:r>
        <w:rPr>
          <w:rFonts w:ascii="Arial" w:eastAsia="Arial" w:hAnsi="Arial" w:cs="Arial"/>
          <w:sz w:val="22"/>
          <w:szCs w:val="22"/>
          <w:lang w:val="en-US"/>
        </w:rPr>
      </w:r>
    </w:p>
    <w:p w:rsidR="00DF038B" w:rsidRPr="00B53046" w:rsidRDefault="006F275C" w:rsidP="00CD2E9E">
      <w:pPr>
        <w:spacing w:after="160" w:line="360" w:lineRule="auto"/>
        <w:jc w:val="both"/>
        <w:rPr>
          <w:lang w:val="en-US"/>
        </w:rPr>
      </w:pPr>
      <w:r>
        <w:rPr>
          <w:rFonts w:ascii="Arial" w:eastAsia="Arial" w:hAnsi="Arial" w:cs="Arial"/>
          <w:b/>
          <w:bCs/>
          <w:sz w:val="22"/>
          <w:szCs w:val="22"/>
          <w:lang w:val="en-US"/>
        </w:rPr>
        <w:t xml:space="preserve">Funding: </w:t>
      </w:r>
      <w:r>
        <w:rPr>
          <w:rFonts w:ascii="Arial" w:eastAsia="Arial" w:hAnsi="Arial" w:cs="Arial"/>
          <w:i/>
          <w:iCs/>
          <w:color w:val="888888"/>
          <w:sz w:val="20"/>
          <w:szCs w:val="20"/>
          <w:lang w:val="en-US"/>
        </w:rPr>
        <w:t>No external funding was received for this work.</w:t>
      </w:r>
    </w:p>
    <w:p w:rsidR="00DF038B" w:rsidRPr="00B53046" w:rsidRDefault="006F275C">
      <w:pPr>
        <w:pBdr>
          <w:bottom w:val="single" w:sz="6" w:space="1" w:color="2C5F8A"/>
        </w:pBdr>
        <w:spacing w:before="420" w:after="200"/>
        <w:rPr>
          <w:lang w:val="en-US"/>
        </w:rPr>
      </w:pPr>
      <w:r>
        <w:rPr>
          <w:rFonts w:ascii="Arial" w:eastAsia="Arial" w:hAnsi="Arial" w:cs="Arial"/>
          <w:b/>
          <w:bCs/>
          <w:color w:val="1E3A5F"/>
          <w:sz w:val="28"/>
          <w:szCs w:val="28"/>
          <w:lang w:val="en-US"/>
        </w:rPr>
        <w:t>Competing Interests</w:t>
      </w:r>
    </w:p>
    <w:p w:rsidR="00DF038B" w:rsidRPr="00B53046" w:rsidRDefault="006F275C" w:rsidP="00CD2E9E">
      <w:pPr>
        <w:spacing w:after="160" w:line="360" w:lineRule="auto"/>
        <w:jc w:val="both"/>
        <w:rPr>
          <w:lang w:val="en-US"/>
        </w:rPr>
      </w:pPr>
      <w:r>
        <w:rPr>
          <w:rFonts w:ascii="Arial" w:eastAsia="Arial" w:hAnsi="Arial" w:cs="Arial"/>
          <w:sz w:val="22"/>
          <w:szCs w:val="22"/>
          <w:lang w:val="en-US"/>
        </w:rPr>
        <w:t>The author declares no competing interests.</w:t>
      </w:r>
    </w:p>
    <w:p w:rsidR="00DF038B" w:rsidRPr="00B53046" w:rsidRDefault="006F275C">
      <w:pPr>
        <w:pBdr>
          <w:bottom w:val="single" w:sz="6" w:space="1" w:color="2C5F8A"/>
        </w:pBdr>
        <w:spacing w:before="420" w:after="200"/>
        <w:rPr>
          <w:lang w:val="en-US"/>
        </w:rPr>
      </w:pPr>
      <w:r>
        <w:rPr>
          <w:rFonts w:ascii="Arial" w:eastAsia="Arial" w:hAnsi="Arial" w:cs="Arial"/>
          <w:b/>
          <w:bCs/>
          <w:color w:val="1E3A5F"/>
          <w:sz w:val="28"/>
          <w:szCs w:val="28"/>
          <w:lang w:val="en-US"/>
        </w:rPr>
        <w:t>LLM Usage Statement</w:t>
      </w:r>
    </w:p>
    <w:p w:rsidR="00DF038B" w:rsidRPr="00B53046" w:rsidRDefault="006F275C" w:rsidP="00CD2E9E">
      <w:pPr>
        <w:spacing w:after="160" w:line="360" w:lineRule="auto"/>
        <w:jc w:val="both"/>
        <w:rPr>
          <w:lang w:val="en-US"/>
        </w:rPr>
      </w:pPr>
      <w:r>
        <w:rPr>
          <w:rFonts w:ascii="Arial" w:eastAsia="Arial" w:hAnsi="Arial" w:cs="Arial"/>
          <w:sz w:val="22"/>
          <w:szCs w:val="22"/>
          <w:lang w:val="en-US"/>
        </w:rPr>
        <w:t>Anthropic Claude Code was used in the development of application code. Claude (claude.ai) was used to assist in structuring and drafting portions of the manuscript text. All technical specifications, biosafety threshold values, algorithm descriptions, and scientific claims were independently verified by the author against the codebase and cited literature. No LLM-generated content was accepted without author review. The web interface was designed by the author and implemented using Claude Code.</w:t>
      </w:r>
    </w:p>
    <w:p w:rsidR="00DF038B" w:rsidRDefault="006F275C">
      <w:pPr>
        <w:pBdr>
          <w:bottom w:val="single" w:sz="6" w:space="1" w:color="2C5F8A"/>
        </w:pBdr>
        <w:spacing w:before="420" w:after="200"/>
      </w:pPr>
      <w:r>
        <w:rPr>
          <w:rFonts w:ascii="Arial" w:eastAsia="Arial" w:hAnsi="Arial" w:cs="Arial"/>
          <w:b/>
          <w:bCs/>
          <w:color w:val="1E3A5F"/>
          <w:sz w:val="28"/>
          <w:szCs w:val="28"/>
        </w:rPr>
        <w:t>References</w:t>
      </w:r>
    </w:p>
    <w:p w:rsidR="00DF038B" w:rsidRPr="00B53046" w:rsidRDefault="006F275C">
      <w:pPr>
        <w:spacing w:after="100"/>
        <w:ind w:left="400" w:hanging="400"/>
        <w:rPr>
          <w:lang w:val="en-US"/>
        </w:rPr>
      </w:pPr>
      <w:r>
        <w:rPr>
          <w:rFonts w:ascii="Arial" w:eastAsia="Arial" w:hAnsi="Arial" w:cs="Arial"/>
          <w:sz w:val="20"/>
          <w:szCs w:val="20"/>
        </w:rPr>
        <w:t xml:space="preserve">[1]  Dauparas, J. et al. </w:t>
      </w:r>
      <w:r>
        <w:rPr>
          <w:rFonts w:ascii="Arial" w:eastAsia="Arial" w:hAnsi="Arial" w:cs="Arial"/>
          <w:sz w:val="20"/>
          <w:szCs w:val="20"/>
          <w:lang w:val="en-US"/>
        </w:rPr>
        <w:t>(2022). Robust deep learning-based protein sequence design using ProteinMPNN. Science, 378, 49-56. doi:10.1126/science.add2187</w:t>
      </w:r>
    </w:p>
    <w:p w:rsidR="00DF038B" w:rsidRPr="00B53046" w:rsidRDefault="006F275C">
      <w:pPr>
        <w:spacing w:after="100"/>
        <w:ind w:left="400" w:hanging="400"/>
        <w:rPr>
          <w:lang w:val="en-US"/>
        </w:rPr>
      </w:pPr>
      <w:r>
        <w:rPr>
          <w:rFonts w:ascii="Arial" w:eastAsia="Arial" w:hAnsi="Arial" w:cs="Arial"/>
          <w:sz w:val="20"/>
          <w:szCs w:val="20"/>
          <w:lang w:val="en-US"/>
        </w:rPr>
        <w:t>[2]  Watson, J.L. et al. (2023). De novo design of protein structure and function with RFdiffusion. Nature, 620, 1089-1100. doi:10.1038/s41586-023-06415-8</w:t>
      </w:r>
    </w:p>
    <w:p w:rsidR="00DF038B" w:rsidRPr="00B53046" w:rsidRDefault="006F275C">
      <w:pPr>
        <w:spacing w:after="100"/>
        <w:ind w:left="400" w:hanging="400"/>
        <w:rPr>
          <w:lang w:val="en-US"/>
        </w:rPr>
      </w:pPr>
      <w:r>
        <w:rPr>
          <w:rFonts w:ascii="Arial" w:eastAsia="Arial" w:hAnsi="Arial" w:cs="Arial"/>
          <w:sz w:val="20"/>
          <w:szCs w:val="20"/>
          <w:lang w:val="en-US"/>
        </w:rPr>
        <w:t>[3]  Lin, Z. et al. (2023). Evolutionary-scale prediction of atomic-level protein structure with a language model. Science, 379, 1123-1130. doi:10.1126/science.ade2574</w:t>
      </w:r>
    </w:p>
    <w:p w:rsidR="00DF038B" w:rsidRPr="00B53046" w:rsidRDefault="006F275C">
      <w:pPr>
        <w:spacing w:after="100"/>
        <w:ind w:left="400" w:hanging="400"/>
        <w:rPr>
          <w:lang w:val="en-US"/>
        </w:rPr>
      </w:pPr>
      <w:r>
        <w:rPr>
          <w:rFonts w:ascii="Arial" w:eastAsia="Arial" w:hAnsi="Arial" w:cs="Arial"/>
          <w:sz w:val="20"/>
          <w:szCs w:val="20"/>
          <w:lang w:val="en-US"/>
        </w:rPr>
        <w:t>[4]  Abramson, J. et al. (2024). Accurate structure prediction of biomolecular interactions with AlphaFold 3. Nature, 630, 493-500. doi:10.1038/s41586-024-07487-w</w:t>
      </w:r>
    </w:p>
    <w:p w:rsidR="00DF038B" w:rsidRPr="00B53046" w:rsidRDefault="006F275C">
      <w:pPr>
        <w:spacing w:after="100"/>
        <w:ind w:left="400" w:hanging="400"/>
        <w:rPr>
          <w:lang w:val="en-US"/>
        </w:rPr>
      </w:pPr>
      <w:r>
        <w:rPr>
          <w:rFonts w:ascii="Arial" w:eastAsia="Arial" w:hAnsi="Arial" w:cs="Arial"/>
          <w:sz w:val="20"/>
          <w:szCs w:val="20"/>
          <w:lang w:val="en-US"/>
        </w:rPr>
        <w:t>[5]  Chen, S. et al. (2025). AI-driven efficient de novo design of GLP-1 receptor agonists with extended half-life and enhanced efficacy. bioRxiv. doi:10.1101/2025.03.26.645438</w:t>
      </w:r>
    </w:p>
    <w:p w:rsidR="00DF038B" w:rsidRPr="00B53046" w:rsidRDefault="006F275C">
      <w:pPr>
        <w:spacing w:after="100"/>
        <w:ind w:left="400" w:hanging="400"/>
        <w:rPr>
          <w:lang w:val="en-US"/>
        </w:rPr>
      </w:pPr>
      <w:r>
        <w:rPr>
          <w:rFonts w:ascii="Arial" w:eastAsia="Arial" w:hAnsi="Arial" w:cs="Arial"/>
          <w:sz w:val="20"/>
          <w:szCs w:val="20"/>
          <w:lang w:val="en-US"/>
        </w:rPr>
        <w:lastRenderedPageBreak/>
        <w:t>[6]  Torres, S. et al. (2025). De novo designed proteins neutralise lethal snake venom toxins. Nature, 639, 225-231. doi:10.1038/s41586-024-08035-2</w:t>
      </w:r>
    </w:p>
    <w:p w:rsidR="001D0760" w:rsidRDefault="006F275C" w:rsidP="001D0760">
      <w:pPr>
        <w:spacing w:after="100"/>
        <w:ind w:left="400" w:hanging="400"/>
        <w:rPr>
          <w:lang w:val="en-US"/>
        </w:rPr>
      </w:pPr>
      <w:r>
        <w:rPr>
          <w:rFonts w:ascii="Arial" w:eastAsia="Arial" w:hAnsi="Arial" w:cs="Arial"/>
          <w:sz w:val="20"/>
          <w:szCs w:val="20"/>
          <w:lang w:val="en-US"/>
        </w:rPr>
        <w:t>[7]  Urbina, F. et al. (2022). Dual use of artificial-intelligence-powered drug discovery. Nature Machine Intelligence, 4, 189-191. doi:10.1038/s42256-022-00465-9</w:t>
      </w:r>
    </w:p>
    <w:p w:rsidR="00DF038B" w:rsidRPr="00B53046" w:rsidRDefault="006F275C" w:rsidP="00CD2E9E">
      <w:pPr>
        <w:spacing w:after="100"/>
        <w:ind w:left="400" w:hanging="400"/>
        <w:rPr>
          <w:lang w:val="en-US"/>
        </w:rPr>
      </w:pPr>
      <w:r>
        <w:rPr>
          <w:rFonts w:ascii="Arial" w:eastAsia="Arial" w:hAnsi="Arial" w:cs="Arial"/>
          <w:sz w:val="20"/>
          <w:szCs w:val="20"/>
          <w:lang w:val="en-US"/>
        </w:rPr>
        <w:t>[8]  Groff-Vindman, C.S. et al. (2025). The convergence of AI and synthetic biology: the looming deluge. npj Biomedical Innovations, 2, 20. doi:10.1038/s44385-025-00021-1</w:t>
      </w:r>
    </w:p>
    <w:p w:rsidR="00DF038B" w:rsidRPr="00B53046" w:rsidRDefault="006F275C">
      <w:pPr>
        <w:spacing w:after="100"/>
        <w:ind w:left="400" w:hanging="400"/>
        <w:rPr>
          <w:lang w:val="en-US"/>
        </w:rPr>
      </w:pPr>
      <w:r>
        <w:rPr>
          <w:rFonts w:ascii="Arial" w:eastAsia="Arial" w:hAnsi="Arial" w:cs="Arial"/>
          <w:sz w:val="20"/>
          <w:szCs w:val="20"/>
          <w:lang w:val="en-US"/>
        </w:rPr>
        <w:t>[9</w:t>
      </w:r>
      <w:proofErr w:type="gramStart"/>
      <w:r>
        <w:rPr>
          <w:rFonts w:ascii="Arial" w:eastAsia="Arial" w:hAnsi="Arial" w:cs="Arial"/>
          <w:sz w:val="20"/>
          <w:szCs w:val="20"/>
          <w:lang w:val="en-US"/>
        </w:rPr>
        <w:t>]  Zhang</w:t>
      </w:r>
      <w:proofErr w:type="gramEnd"/>
      <w:r>
        <w:rPr>
          <w:rFonts w:ascii="Arial" w:eastAsia="Arial" w:hAnsi="Arial" w:cs="Arial"/>
          <w:sz w:val="20"/>
          <w:szCs w:val="20"/>
          <w:lang w:val="en-US"/>
        </w:rPr>
        <w:t>, Z. et al. (2025). Generative AI for biosciences: Emerging threats and roadmap to biosecurity. arXiv:2510.15975</w:t>
      </w:r>
    </w:p>
    <w:p w:rsidR="00DF038B" w:rsidRPr="00B53046" w:rsidRDefault="006F275C">
      <w:pPr>
        <w:spacing w:after="100"/>
        <w:ind w:left="400" w:hanging="400"/>
        <w:rPr>
          <w:lang w:val="en-US"/>
        </w:rPr>
      </w:pPr>
      <w:r>
        <w:rPr>
          <w:rFonts w:ascii="Arial" w:eastAsia="Arial" w:hAnsi="Arial" w:cs="Arial"/>
          <w:sz w:val="20"/>
          <w:szCs w:val="20"/>
        </w:rPr>
        <w:t xml:space="preserve">[10] Goad, W. (1979). Los Alamos Sequence Database. </w:t>
      </w:r>
      <w:r>
        <w:rPr>
          <w:rFonts w:ascii="Arial" w:eastAsia="Arial" w:hAnsi="Arial" w:cs="Arial"/>
          <w:sz w:val="20"/>
          <w:szCs w:val="20"/>
          <w:lang w:val="en-US"/>
        </w:rPr>
        <w:t>Los Alamos National Laboratory / NIH.</w:t>
      </w:r>
    </w:p>
    <w:p w:rsidR="00DF038B" w:rsidRPr="00B53046" w:rsidRDefault="006F275C">
      <w:pPr>
        <w:spacing w:after="100"/>
        <w:ind w:left="400" w:hanging="400"/>
        <w:rPr>
          <w:lang w:val="en-US"/>
        </w:rPr>
      </w:pPr>
      <w:r>
        <w:rPr>
          <w:rFonts w:ascii="Arial" w:eastAsia="Arial" w:hAnsi="Arial" w:cs="Arial"/>
          <w:sz w:val="20"/>
          <w:szCs w:val="20"/>
          <w:lang w:val="en-US"/>
        </w:rPr>
        <w:t>[11] NCBI (2024). GenBank Statistics. https://www.ncbi.nlm.nih.gov/genbank/statistics/ [Accessed April 2026]</w:t>
      </w:r>
    </w:p>
    <w:p w:rsidR="00DF038B" w:rsidRPr="00B53046" w:rsidRDefault="006F275C">
      <w:pPr>
        <w:spacing w:after="100"/>
        <w:ind w:left="400" w:hanging="400"/>
        <w:rPr>
          <w:lang w:val="en-US"/>
        </w:rPr>
      </w:pPr>
      <w:r>
        <w:rPr>
          <w:rFonts w:ascii="Arial" w:eastAsia="Arial" w:hAnsi="Arial" w:cs="Arial"/>
          <w:sz w:val="20"/>
          <w:szCs w:val="20"/>
          <w:lang w:val="en-US"/>
        </w:rPr>
        <w:t>[12] Pettit, D. et al. (2025). History of biological databases, their importance, and existence in modern scientific and policy context. Database. doi:10.1093/database/baae131</w:t>
      </w:r>
    </w:p>
    <w:p w:rsidR="00DF038B" w:rsidRPr="00B53046" w:rsidRDefault="006F275C">
      <w:pPr>
        <w:spacing w:after="100"/>
        <w:ind w:left="400" w:hanging="400"/>
        <w:rPr>
          <w:lang w:val="en-US"/>
        </w:rPr>
      </w:pPr>
      <w:r>
        <w:rPr>
          <w:rFonts w:ascii="Arial" w:eastAsia="Arial" w:hAnsi="Arial" w:cs="Arial"/>
          <w:sz w:val="20"/>
          <w:szCs w:val="20"/>
          <w:lang w:val="en-US"/>
        </w:rPr>
        <w:t>[13] NCBI. A brief history of NCBI's formation and growth. The NCBI Handbook (NBK148949). https://www.ncbi.nlm.nih.gov/books/NBK148949/</w:t>
      </w:r>
    </w:p>
    <w:p w:rsidR="00DF038B" w:rsidRPr="00B53046" w:rsidRDefault="006F275C">
      <w:pPr>
        <w:spacing w:after="100"/>
        <w:ind w:left="400" w:hanging="400"/>
        <w:rPr>
          <w:lang w:val="en-US"/>
        </w:rPr>
      </w:pPr>
      <w:r>
        <w:rPr>
          <w:rFonts w:ascii="Arial" w:eastAsia="Arial" w:hAnsi="Arial" w:cs="Arial"/>
          <w:sz w:val="20"/>
          <w:szCs w:val="20"/>
          <w:lang w:val="en-US"/>
        </w:rPr>
        <w:t>[14] Liss, M. et al. (2012). Embedding permanent watermarks in synthetic genes. PLOS ONE, 7(8), e42465. doi:10.1371/journal.pone.0042465</w:t>
      </w:r>
    </w:p>
    <w:p w:rsidR="00810DB8" w:rsidRDefault="006F275C" w:rsidP="00810DB8">
      <w:pPr>
        <w:spacing w:after="100"/>
        <w:ind w:left="400" w:hanging="400"/>
        <w:rPr>
          <w:lang w:val="en-US"/>
        </w:rPr>
      </w:pPr>
      <w:r>
        <w:rPr>
          <w:rFonts w:ascii="Arial" w:eastAsia="Arial" w:hAnsi="Arial" w:cs="Arial"/>
          <w:sz w:val="20"/>
          <w:szCs w:val="20"/>
          <w:lang w:val="en-US"/>
        </w:rPr>
        <w:t>[15] Haughton, D. &amp; Balado, F. (2013). BioCode: Two biologically compatible algorithms for embedding data in non-coding and coding regions of DNA. BMC Bioinformatics, 14, 121. doi:10.1186/1471-2105-14-121</w:t>
      </w:r>
    </w:p>
    <w:p w:rsidR="00DF038B" w:rsidRDefault="006F275C" w:rsidP="00810DB8">
      <w:pPr>
        <w:spacing w:after="100"/>
        <w:ind w:left="400" w:hanging="400"/>
        <w:rPr>
          <w:rFonts w:ascii="Arial" w:eastAsia="Arial" w:hAnsi="Arial" w:cs="Arial"/>
          <w:sz w:val="20"/>
          <w:szCs w:val="20"/>
          <w:lang w:val="en-US"/>
        </w:rPr>
      </w:pPr>
      <w:r>
        <w:rPr>
          <w:rFonts w:ascii="Arial" w:eastAsia="Arial" w:hAnsi="Arial" w:cs="Arial"/>
          <w:sz w:val="20"/>
          <w:szCs w:val="20"/>
          <w:lang w:val="en-US"/>
        </w:rPr>
        <w:t>[16] Berezin, C.-T. et al. (2024). Cryptographic approaches to authenticating synthetic DNA sequences. Trends in Biotechnology, 42(8), 1002–1016. doi:10.1016/j.tibtech.2024.02.002</w:t>
      </w:r>
    </w:p>
    <w:p w:rsidR="001D0760" w:rsidRPr="00810DB8" w:rsidRDefault="001D0760" w:rsidP="00810DB8">
      <w:pPr>
        <w:spacing w:after="100"/>
        <w:ind w:left="400" w:hanging="400"/>
        <w:rPr>
          <w:rFonts w:ascii="Arial" w:eastAsia="Arial" w:hAnsi="Arial" w:cs="Arial"/>
          <w:sz w:val="20"/>
          <w:szCs w:val="20"/>
          <w:lang w:val="en-US"/>
        </w:rPr>
      </w:pPr>
      <w:r>
        <w:rPr>
          <w:rFonts w:ascii="Arial" w:eastAsia="Arial" w:hAnsi="Arial" w:cs="Arial"/>
          <w:sz w:val="20"/>
          <w:szCs w:val="20"/>
          <w:lang w:val="en-US"/>
        </w:rPr>
        <w:t>[17] NIST (2015). SHA-3 Standard: Permutation-Based Hash and Extendable-Output Functions. Federal Information Processing Standards Publication 202. doi:10.6028/NIST.FIPS.202</w:t>
      </w:r>
    </w:p>
    <w:p w:rsidR="00DF038B" w:rsidRDefault="006F275C">
      <w:pPr>
        <w:spacing w:after="100"/>
        <w:ind w:left="400" w:hanging="400"/>
        <w:rPr>
          <w:rFonts w:ascii="Arial" w:eastAsia="Arial" w:hAnsi="Arial" w:cs="Arial"/>
          <w:sz w:val="20"/>
          <w:szCs w:val="20"/>
          <w:lang w:val="en-US"/>
        </w:rPr>
      </w:pPr>
      <w:r>
        <w:rPr>
          <w:rFonts w:ascii="Arial" w:eastAsia="Arial" w:hAnsi="Arial" w:cs="Arial"/>
          <w:sz w:val="20"/>
          <w:szCs w:val="20"/>
          <w:lang w:val="en-US"/>
        </w:rPr>
        <w:t>[18] Reed, I.S. &amp; Solomon, G. (1960). Polynomial codes over certain finite fields. Journal of the Society for Industrial and Applied Mathematics, 8(2), 300-304.</w:t>
      </w:r>
    </w:p>
    <w:p w:rsidR="001D0760" w:rsidRDefault="001D0760" w:rsidP="001D0760">
      <w:pPr>
        <w:spacing w:after="100"/>
        <w:ind w:left="400" w:hanging="400"/>
        <w:rPr>
          <w:rFonts w:ascii="Arial" w:eastAsia="Arial" w:hAnsi="Arial" w:cs="Arial"/>
          <w:sz w:val="20"/>
          <w:szCs w:val="20"/>
          <w:lang w:val="en-US"/>
        </w:rPr>
      </w:pPr>
      <w:r w:rsidRPr="00CD2E9E">
        <w:rPr>
          <w:rFonts w:ascii="Arial" w:eastAsia="Arial" w:hAnsi="Arial" w:cs="Arial"/>
          <w:sz w:val="20"/>
          <w:szCs w:val="20"/>
          <w:lang w:val="en-US"/>
        </w:rPr>
        <w:t>[19] Baum, C. et al. (2024). A system capable of verifiably and privately screening global DNA synthesis. arXiv. doi:10.48550/arXiv.2403.14023</w:t>
      </w:r>
    </w:p>
    <w:p w:rsidR="001D0760" w:rsidRPr="00CD2E9E" w:rsidRDefault="001D0760" w:rsidP="001D0760">
      <w:pPr>
        <w:spacing w:after="100"/>
        <w:ind w:left="400" w:hanging="400"/>
        <w:rPr>
          <w:rFonts w:ascii="Arial" w:eastAsia="Arial" w:hAnsi="Arial" w:cs="Arial"/>
          <w:sz w:val="20"/>
          <w:szCs w:val="20"/>
          <w:lang w:val="en-US"/>
        </w:rPr>
      </w:pPr>
      <w:r w:rsidRPr="00CD2E9E">
        <w:rPr>
          <w:rFonts w:ascii="Arial" w:eastAsia="Arial" w:hAnsi="Arial" w:cs="Arial"/>
          <w:sz w:val="20"/>
          <w:szCs w:val="20"/>
          <w:lang w:val="en-US"/>
        </w:rPr>
        <w:t>[20] Sherman, A.T. et al. (2025). Analysis of the Security Design, Engineering, and Implementation of the SecureDNA System. arXiv. doi:10.14722/ndss.2026</w:t>
      </w:r>
    </w:p>
    <w:p w:rsidR="001D0760" w:rsidRPr="00D60266" w:rsidRDefault="001D0760" w:rsidP="00D60266">
      <w:pPr>
        <w:spacing w:after="100"/>
        <w:ind w:left="400" w:hanging="400"/>
        <w:rPr>
          <w:rFonts w:ascii="Arial" w:eastAsia="Arial" w:hAnsi="Arial" w:cs="Arial"/>
          <w:sz w:val="20"/>
          <w:szCs w:val="20"/>
          <w:lang w:val="en-US"/>
        </w:rPr>
      </w:pPr>
      <w:r>
        <w:rPr>
          <w:rFonts w:ascii="Arial" w:eastAsia="Arial" w:hAnsi="Arial" w:cs="Arial"/>
          <w:sz w:val="20"/>
          <w:szCs w:val="20"/>
          <w:lang w:val="en-US"/>
        </w:rPr>
        <w:t>[21] IBBIS (2023). Common Mechanism for Biosecurity Screening of Synthetic DNA. International Biosecurity and Biosafety Initiative for Science. Available at: https://ibbis.bio/common-mechanism/ [Accessed April 2026].</w:t>
      </w:r>
    </w:p>
    <w:p w:rsidR="00DF038B" w:rsidRPr="00B53046" w:rsidRDefault="006F275C" w:rsidP="00D60266">
      <w:pPr>
        <w:spacing w:after="100"/>
        <w:ind w:left="400" w:hanging="400"/>
        <w:rPr>
          <w:lang w:val="en-US"/>
        </w:rPr>
      </w:pPr>
      <w:r>
        <w:rPr>
          <w:rFonts w:ascii="Arial" w:eastAsia="Arial" w:hAnsi="Arial" w:cs="Arial"/>
          <w:sz w:val="20"/>
          <w:szCs w:val="20"/>
          <w:lang w:val="en-US"/>
        </w:rPr>
        <w:t>[22] Huang, L. et al. (2019). LinearFold: Linear-time approximate RNA folding by 5'-to-3' dynamic programming and beam search. Bioinformatics, 35(14), i295-i304. doi:10.1093/bioinformatics/btz375</w:t>
      </w:r>
    </w:p>
    <w:p w:rsidR="00DF038B" w:rsidRPr="00B53046" w:rsidRDefault="006F275C">
      <w:pPr>
        <w:spacing w:after="100"/>
        <w:ind w:left="400" w:hanging="400"/>
        <w:rPr>
          <w:lang w:val="en-US"/>
        </w:rPr>
      </w:pPr>
      <w:r>
        <w:rPr>
          <w:rFonts w:ascii="Arial" w:eastAsia="Arial" w:hAnsi="Arial" w:cs="Arial"/>
          <w:sz w:val="20"/>
          <w:szCs w:val="20"/>
          <w:lang w:val="en-US"/>
        </w:rPr>
        <w:t>[23] Huelsing, A. (2013). W-OTS+: Shorter signatures for hash-based signature schemes. Progress in Cryptology, AFRICACRYPT 2013. Lecture Notes in Computer Science, 7918, 173-188. doi:10.1007/978-3-642-38553-7_10</w:t>
      </w:r>
    </w:p>
    <w:p w:rsidR="00DF038B" w:rsidRPr="00B53046" w:rsidRDefault="006F275C">
      <w:pPr>
        <w:spacing w:after="100"/>
        <w:ind w:left="400" w:hanging="400"/>
        <w:rPr>
          <w:lang w:val="en-US"/>
        </w:rPr>
      </w:pPr>
      <w:r>
        <w:rPr>
          <w:rFonts w:ascii="Arial" w:eastAsia="Arial" w:hAnsi="Arial" w:cs="Arial"/>
          <w:sz w:val="20"/>
          <w:szCs w:val="20"/>
          <w:lang w:val="en-US"/>
        </w:rPr>
        <w:t>[24] Regev, O. (2009). On lattices, learning with errors, random linear codes, and cryptography. Journal of the ACM, 56(6), Article 34. doi:10.1145/1374376.1374407</w:t>
      </w:r>
    </w:p>
    <w:p w:rsidR="00DF038B" w:rsidRPr="00B53046" w:rsidRDefault="006F275C">
      <w:pPr>
        <w:spacing w:after="100"/>
        <w:ind w:left="400" w:hanging="400"/>
        <w:rPr>
          <w:lang w:val="en-US"/>
        </w:rPr>
      </w:pPr>
      <w:r>
        <w:rPr>
          <w:rFonts w:ascii="Arial" w:eastAsia="Arial" w:hAnsi="Arial" w:cs="Arial"/>
          <w:sz w:val="20"/>
          <w:szCs w:val="20"/>
          <w:lang w:val="en-US"/>
        </w:rPr>
        <w:t>[25] De Haro, L.P. (2024). Biosecurity risk assessment for the use of artificial intelligence in synthetic biology. Applied Biosafety, 29(2), 96-107. doi:10.1089/apb.2023.0031</w:t>
      </w:r>
    </w:p>
    <w:p w:rsidR="00DF038B" w:rsidRPr="00B53046" w:rsidRDefault="006F275C">
      <w:pPr>
        <w:spacing w:after="100"/>
        <w:ind w:left="400" w:hanging="400"/>
        <w:rPr>
          <w:lang w:val="en-US"/>
        </w:rPr>
      </w:pPr>
      <w:r>
        <w:rPr>
          <w:rFonts w:ascii="Arial" w:eastAsia="Arial" w:hAnsi="Arial" w:cs="Arial"/>
          <w:sz w:val="20"/>
          <w:szCs w:val="20"/>
          <w:lang w:val="en-US"/>
        </w:rPr>
        <w:t>[26] Carnegie Endowment for International Peace (2024). Mitigating risks from gene editing and synthetic biology: Global governance priorities. Washington, DC.</w:t>
      </w:r>
    </w:p>
    <w:p w:rsidR="00810DB8" w:rsidRDefault="006F275C" w:rsidP="00810DB8">
      <w:pPr>
        <w:spacing w:after="100"/>
        <w:ind w:left="400" w:hanging="400"/>
        <w:rPr>
          <w:rFonts w:ascii="Arial" w:eastAsia="Arial" w:hAnsi="Arial" w:cs="Arial"/>
          <w:sz w:val="20"/>
          <w:szCs w:val="20"/>
          <w:lang w:val="en-US"/>
        </w:rPr>
      </w:pPr>
      <w:r>
        <w:rPr>
          <w:rFonts w:ascii="Arial" w:eastAsia="Arial" w:hAnsi="Arial" w:cs="Arial"/>
          <w:sz w:val="20"/>
          <w:szCs w:val="20"/>
          <w:lang w:val="en-US"/>
        </w:rPr>
        <w:t>[27] Wittmann, B.J. et al. (2024). Toward AI-resilient screening of nucleic acid synthesis orders: Process, results, and recommendations. bioRxiv. doi:10.1101/2024.12.02.626439</w:t>
      </w:r>
    </w:p>
    <w:p w:rsidR="006F275C" w:rsidRPr="00B53046" w:rsidRDefault="006F275C" w:rsidP="006F275C">
      <w:pPr>
        <w:spacing w:after="100"/>
        <w:ind w:left="400" w:hanging="400"/>
        <w:rPr>
          <w:lang w:val="en-US"/>
        </w:rPr>
      </w:pPr>
      <w:r>
        <w:rPr>
          <w:rFonts w:ascii="Arial" w:eastAsia="Arial" w:hAnsi="Arial" w:cs="Arial"/>
          <w:sz w:val="20"/>
          <w:szCs w:val="20"/>
          <w:lang w:val="en-US"/>
        </w:rPr>
        <w:lastRenderedPageBreak/>
        <w:t>[28] Carlson, R.H. (2016). Estimating the biotech sector’s contribution to the US economy. Nature Biotechnology, 34(3), 247-255. doi:10.1038/nbt.3491</w:t>
      </w:r>
    </w:p>
    <w:p w:rsidR="006F275C" w:rsidRDefault="006F275C" w:rsidP="00810DB8">
      <w:pPr>
        <w:spacing w:after="100"/>
        <w:ind w:left="400" w:hanging="400"/>
        <w:rPr>
          <w:rFonts w:ascii="Arial" w:eastAsia="Arial" w:hAnsi="Arial" w:cs="Arial"/>
          <w:sz w:val="20"/>
          <w:szCs w:val="20"/>
          <w:lang w:val="en-US"/>
        </w:rPr>
      </w:pPr>
    </w:p>
    <w:p w:rsidR="00810DB8" w:rsidRPr="00810DB8" w:rsidRDefault="00810DB8" w:rsidP="00810DB8">
      <w:pPr>
        <w:rPr>
          <w:lang w:val="en-US"/>
        </w:rPr>
      </w:pPr>
    </w:p>
    <w:p w:rsidR="00810DB8" w:rsidRDefault="00810DB8" w:rsidP="00893699">
      <w:pPr>
        <w:rPr>
          <w:sz w:val="20"/>
          <w:szCs w:val="20"/>
          <w:lang w:val="en-US"/>
        </w:rPr>
      </w:pPr>
    </w:p>
    <w:p w:rsidR="00810DB8" w:rsidRDefault="00810DB8" w:rsidP="00893699">
      <w:pPr>
        <w:rPr>
          <w:sz w:val="20"/>
          <w:szCs w:val="20"/>
          <w:lang w:val="en-US"/>
        </w:rPr>
      </w:pPr>
    </w:p>
    <w:p w:rsidR="00810DB8" w:rsidRDefault="00810DB8" w:rsidP="00893699">
      <w:pPr>
        <w:rPr>
          <w:sz w:val="20"/>
          <w:szCs w:val="20"/>
          <w:lang w:val="en-US"/>
        </w:rPr>
      </w:pPr>
    </w:p>
    <w:p w:rsidR="00810DB8" w:rsidRPr="00810DB8" w:rsidRDefault="00810DB8" w:rsidP="00893699">
      <w:pPr>
        <w:rPr>
          <w:rFonts w:ascii="Arial" w:eastAsia="Arial" w:hAnsi="Arial" w:cs="Arial"/>
          <w:sz w:val="20"/>
          <w:szCs w:val="20"/>
          <w:lang w:val="en-US"/>
        </w:rPr>
      </w:pPr>
    </w:p>
    <w:p w:rsidR="00DF038B" w:rsidRPr="00B53046" w:rsidRDefault="00DF038B" w:rsidP="000D256D">
      <w:pPr>
        <w:spacing w:after="100"/>
        <w:rPr>
          <w:lang w:val="en-US"/>
        </w:rPr>
      </w:pPr>
    </w:p>
    <w:sectPr w:rsidR="00DF038B" w:rsidRPr="00B530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44CBA"/>
    <w:multiLevelType w:val="hybridMultilevel"/>
    <w:tmpl w:val="91CA78DA"/>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1" w15:restartNumberingAfterBreak="0">
    <w:nsid w:val="3A4227FA"/>
    <w:multiLevelType w:val="hybridMultilevel"/>
    <w:tmpl w:val="CB44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EE4B05"/>
    <w:multiLevelType w:val="hybridMultilevel"/>
    <w:tmpl w:val="99B411B2"/>
    <w:lvl w:ilvl="0" w:tplc="27904556">
      <w:start w:val="1"/>
      <w:numFmt w:val="bullet"/>
      <w:lvlText w:val="●"/>
      <w:lvlJc w:val="left"/>
      <w:pPr>
        <w:ind w:left="720" w:hanging="360"/>
      </w:pPr>
    </w:lvl>
    <w:lvl w:ilvl="1" w:tplc="41FCEEC8">
      <w:start w:val="1"/>
      <w:numFmt w:val="bullet"/>
      <w:lvlText w:val="○"/>
      <w:lvlJc w:val="left"/>
      <w:pPr>
        <w:ind w:left="1440" w:hanging="360"/>
      </w:pPr>
    </w:lvl>
    <w:lvl w:ilvl="2" w:tplc="0FA6D682">
      <w:start w:val="1"/>
      <w:numFmt w:val="bullet"/>
      <w:lvlText w:val="■"/>
      <w:lvlJc w:val="left"/>
      <w:pPr>
        <w:ind w:left="2160" w:hanging="360"/>
      </w:pPr>
    </w:lvl>
    <w:lvl w:ilvl="3" w:tplc="CA442658">
      <w:start w:val="1"/>
      <w:numFmt w:val="bullet"/>
      <w:lvlText w:val="●"/>
      <w:lvlJc w:val="left"/>
      <w:pPr>
        <w:ind w:left="2880" w:hanging="360"/>
      </w:pPr>
    </w:lvl>
    <w:lvl w:ilvl="4" w:tplc="84846226">
      <w:start w:val="1"/>
      <w:numFmt w:val="bullet"/>
      <w:lvlText w:val="○"/>
      <w:lvlJc w:val="left"/>
      <w:pPr>
        <w:ind w:left="3600" w:hanging="360"/>
      </w:pPr>
    </w:lvl>
    <w:lvl w:ilvl="5" w:tplc="D98A4424">
      <w:start w:val="1"/>
      <w:numFmt w:val="bullet"/>
      <w:lvlText w:val="■"/>
      <w:lvlJc w:val="left"/>
      <w:pPr>
        <w:ind w:left="4320" w:hanging="360"/>
      </w:pPr>
    </w:lvl>
    <w:lvl w:ilvl="6" w:tplc="6BD68866">
      <w:start w:val="1"/>
      <w:numFmt w:val="bullet"/>
      <w:lvlText w:val="●"/>
      <w:lvlJc w:val="left"/>
      <w:pPr>
        <w:ind w:left="5040" w:hanging="360"/>
      </w:pPr>
    </w:lvl>
    <w:lvl w:ilvl="7" w:tplc="57BA0CE2">
      <w:start w:val="1"/>
      <w:numFmt w:val="bullet"/>
      <w:lvlText w:val="●"/>
      <w:lvlJc w:val="left"/>
      <w:pPr>
        <w:ind w:left="5760" w:hanging="360"/>
      </w:pPr>
    </w:lvl>
    <w:lvl w:ilvl="8" w:tplc="9092CDB4">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38B"/>
    <w:rsid w:val="000D256D"/>
    <w:rsid w:val="001C45D5"/>
    <w:rsid w:val="001D0760"/>
    <w:rsid w:val="002B5439"/>
    <w:rsid w:val="0069493A"/>
    <w:rsid w:val="006F275C"/>
    <w:rsid w:val="00810DB8"/>
    <w:rsid w:val="00893699"/>
    <w:rsid w:val="00A56B64"/>
    <w:rsid w:val="00B53046"/>
    <w:rsid w:val="00CD2E9E"/>
    <w:rsid w:val="00D3724C"/>
    <w:rsid w:val="00D60266"/>
    <w:rsid w:val="00DF038B"/>
    <w:rsid w:val="00E14D58"/>
    <w:rsid w:val="00E33424"/>
    <w:rsid w:val="00F761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AB56"/>
  <w15:docId w15:val="{B9C46AC0-9B8D-644C-BC84-CFD5D7D88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E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0DB8"/>
    <w:rPr>
      <w:rFonts w:ascii="Times New Roman" w:eastAsia="Times New Roman" w:hAnsi="Times New Roman" w:cs="Times New Roman"/>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B53046"/>
    <w:rPr>
      <w:i/>
      <w:iCs/>
    </w:rPr>
  </w:style>
  <w:style w:type="character" w:styleId="UnresolvedMention">
    <w:name w:val="Unresolved Mention"/>
    <w:basedOn w:val="DefaultParagraphFont"/>
    <w:uiPriority w:val="99"/>
    <w:semiHidden/>
    <w:unhideWhenUsed/>
    <w:rsid w:val="00B53046"/>
    <w:rPr>
      <w:color w:val="605E5C"/>
      <w:shd w:val="clear" w:color="auto" w:fill="E1DFDD"/>
    </w:rPr>
  </w:style>
  <w:style w:type="character" w:customStyle="1" w:styleId="visually-hidden">
    <w:name w:val="visually-hidden"/>
    <w:basedOn w:val="DefaultParagraphFont"/>
    <w:rsid w:val="00893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861380">
      <w:bodyDiv w:val="1"/>
      <w:marLeft w:val="0"/>
      <w:marRight w:val="0"/>
      <w:marTop w:val="0"/>
      <w:marBottom w:val="0"/>
      <w:divBdr>
        <w:top w:val="none" w:sz="0" w:space="0" w:color="auto"/>
        <w:left w:val="none" w:sz="0" w:space="0" w:color="auto"/>
        <w:bottom w:val="none" w:sz="0" w:space="0" w:color="auto"/>
        <w:right w:val="none" w:sz="0" w:space="0" w:color="auto"/>
      </w:divBdr>
      <w:divsChild>
        <w:div w:id="647973315">
          <w:marLeft w:val="0"/>
          <w:marRight w:val="0"/>
          <w:marTop w:val="0"/>
          <w:marBottom w:val="0"/>
          <w:divBdr>
            <w:top w:val="none" w:sz="0" w:space="0" w:color="auto"/>
            <w:left w:val="none" w:sz="0" w:space="0" w:color="auto"/>
            <w:bottom w:val="none" w:sz="0" w:space="0" w:color="auto"/>
            <w:right w:val="none" w:sz="0" w:space="0" w:color="auto"/>
          </w:divBdr>
        </w:div>
      </w:divsChild>
    </w:div>
    <w:div w:id="225647783">
      <w:bodyDiv w:val="1"/>
      <w:marLeft w:val="0"/>
      <w:marRight w:val="0"/>
      <w:marTop w:val="0"/>
      <w:marBottom w:val="0"/>
      <w:divBdr>
        <w:top w:val="none" w:sz="0" w:space="0" w:color="auto"/>
        <w:left w:val="none" w:sz="0" w:space="0" w:color="auto"/>
        <w:bottom w:val="none" w:sz="0" w:space="0" w:color="auto"/>
        <w:right w:val="none" w:sz="0" w:space="0" w:color="auto"/>
      </w:divBdr>
    </w:div>
    <w:div w:id="634991263">
      <w:bodyDiv w:val="1"/>
      <w:marLeft w:val="0"/>
      <w:marRight w:val="0"/>
      <w:marTop w:val="0"/>
      <w:marBottom w:val="0"/>
      <w:divBdr>
        <w:top w:val="none" w:sz="0" w:space="0" w:color="auto"/>
        <w:left w:val="none" w:sz="0" w:space="0" w:color="auto"/>
        <w:bottom w:val="none" w:sz="0" w:space="0" w:color="auto"/>
        <w:right w:val="none" w:sz="0" w:space="0" w:color="auto"/>
      </w:divBdr>
    </w:div>
    <w:div w:id="804666411">
      <w:bodyDiv w:val="1"/>
      <w:marLeft w:val="0"/>
      <w:marRight w:val="0"/>
      <w:marTop w:val="0"/>
      <w:marBottom w:val="0"/>
      <w:divBdr>
        <w:top w:val="none" w:sz="0" w:space="0" w:color="auto"/>
        <w:left w:val="none" w:sz="0" w:space="0" w:color="auto"/>
        <w:bottom w:val="none" w:sz="0" w:space="0" w:color="auto"/>
        <w:right w:val="none" w:sz="0" w:space="0" w:color="auto"/>
      </w:divBdr>
    </w:div>
    <w:div w:id="1352536975">
      <w:bodyDiv w:val="1"/>
      <w:marLeft w:val="0"/>
      <w:marRight w:val="0"/>
      <w:marTop w:val="0"/>
      <w:marBottom w:val="0"/>
      <w:divBdr>
        <w:top w:val="none" w:sz="0" w:space="0" w:color="auto"/>
        <w:left w:val="none" w:sz="0" w:space="0" w:color="auto"/>
        <w:bottom w:val="none" w:sz="0" w:space="0" w:color="auto"/>
        <w:right w:val="none" w:sz="0" w:space="0" w:color="auto"/>
      </w:divBdr>
    </w:div>
    <w:div w:id="1363246713">
      <w:bodyDiv w:val="1"/>
      <w:marLeft w:val="0"/>
      <w:marRight w:val="0"/>
      <w:marTop w:val="0"/>
      <w:marBottom w:val="0"/>
      <w:divBdr>
        <w:top w:val="none" w:sz="0" w:space="0" w:color="auto"/>
        <w:left w:val="none" w:sz="0" w:space="0" w:color="auto"/>
        <w:bottom w:val="none" w:sz="0" w:space="0" w:color="auto"/>
        <w:right w:val="none" w:sz="0" w:space="0" w:color="auto"/>
      </w:divBdr>
    </w:div>
    <w:div w:id="1453555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orcid.org/0000-0002-7989-908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16</Pages>
  <Words>4880</Words>
  <Characters>27822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Babita Singh</cp:lastModifiedBy>
  <cp:revision>4</cp:revision>
  <dcterms:created xsi:type="dcterms:W3CDTF">2026-04-29T05:30:00Z</dcterms:created>
  <dcterms:modified xsi:type="dcterms:W3CDTF">2026-05-05T11:16:00Z</dcterms:modified>
</cp:coreProperties>
</file>