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Term Sheet - Genel Energy Finance 4 Limited</w:t>
      </w:r>
    </w:p>
    <w:p>
      <w:r>
        <w:rPr>
          <w:sz w:val="20"/>
        </w:rPr>
        <w:t>Senior Unsecured Guaranteed Callable Bond Issue 2020/2025 (key terms)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ISIN</w:t>
            </w:r>
          </w:p>
        </w:tc>
        <w:tc>
          <w:tcPr>
            <w:tcW w:type="dxa" w:w="4320"/>
          </w:tcPr>
          <w:p>
            <w:r>
              <w:t>NO 0010894330</w:t>
            </w:r>
          </w:p>
        </w:tc>
      </w:tr>
      <w:tr>
        <w:tc>
          <w:tcPr>
            <w:tcW w:type="dxa" w:w="4320"/>
          </w:tcPr>
          <w:p>
            <w:r>
              <w:t>Issuer</w:t>
            </w:r>
          </w:p>
        </w:tc>
        <w:tc>
          <w:tcPr>
            <w:tcW w:type="dxa" w:w="4320"/>
          </w:tcPr>
          <w:p>
            <w:r>
              <w:t>Genel Energy Finance 4 Limited (incorporated in England, company registration number 11867181)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Genel Energy plc (incorporated in Jersey, company registration number 107897).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USD</w:t>
            </w:r>
          </w:p>
        </w:tc>
      </w:tr>
      <w:tr>
        <w:tc>
          <w:tcPr>
            <w:tcW w:type="dxa" w:w="4320"/>
          </w:tcPr>
          <w:p>
            <w:r>
              <w:t>Issue Amount</w:t>
            </w:r>
          </w:p>
        </w:tc>
        <w:tc>
          <w:tcPr>
            <w:tcW w:type="dxa" w:w="4320"/>
          </w:tcPr>
          <w:p>
            <w:r>
              <w:t>USD 300,000,000</w:t>
            </w:r>
          </w:p>
        </w:tc>
      </w:tr>
      <w:tr>
        <w:tc>
          <w:tcPr>
            <w:tcW w:type="dxa" w:w="4320"/>
          </w:tcPr>
          <w:p>
            <w:r>
              <w:t>Coupon Rate</w:t>
            </w:r>
          </w:p>
        </w:tc>
        <w:tc>
          <w:tcPr>
            <w:tcW w:type="dxa" w:w="4320"/>
          </w:tcPr>
          <w:p>
            <w:r>
              <w:t>9.25% p.a., semi-annual interest payments.</w:t>
            </w:r>
          </w:p>
        </w:tc>
      </w:tr>
      <w:tr>
        <w:tc>
          <w:tcPr>
            <w:tcW w:type="dxa" w:w="4320"/>
          </w:tcPr>
          <w:p>
            <w:r>
              <w:t>Issue Price</w:t>
            </w:r>
          </w:p>
        </w:tc>
        <w:tc>
          <w:tcPr>
            <w:tcW w:type="dxa" w:w="4320"/>
          </w:tcPr>
          <w:p>
            <w:r>
              <w:t>97% of the Nominal Amount.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Expected to be 14 October 2020.</w:t>
            </w:r>
          </w:p>
        </w:tc>
      </w:tr>
      <w:tr>
        <w:tc>
          <w:tcPr>
            <w:tcW w:type="dxa" w:w="4320"/>
          </w:tcPr>
          <w:p>
            <w:r>
              <w:t>Maturity Date</w:t>
            </w:r>
          </w:p>
        </w:tc>
        <w:tc>
          <w:tcPr>
            <w:tcW w:type="dxa" w:w="4320"/>
          </w:tcPr>
          <w:p>
            <w:r>
              <w:t>Expected to be 14 October 2025 (5 years after Issue Date).</w:t>
            </w:r>
          </w:p>
        </w:tc>
      </w:tr>
      <w:tr>
        <w:tc>
          <w:tcPr>
            <w:tcW w:type="dxa" w:w="4320"/>
          </w:tcPr>
          <w:p>
            <w:r>
              <w:t>First Interest Payment Date</w:t>
            </w:r>
          </w:p>
        </w:tc>
        <w:tc>
          <w:tcPr>
            <w:tcW w:type="dxa" w:w="4320"/>
          </w:tcPr>
          <w:p>
            <w:r>
              <w:t>Expected to be 14 April 2021 (6 months after Issue Date).</w:t>
            </w:r>
          </w:p>
        </w:tc>
      </w:tr>
      <w:tr>
        <w:tc>
          <w:tcPr>
            <w:tcW w:type="dxa" w:w="4320"/>
          </w:tcPr>
          <w:p>
            <w:r>
              <w:t>Interest Payments</w:t>
            </w:r>
          </w:p>
        </w:tc>
        <w:tc>
          <w:tcPr>
            <w:tcW w:type="dxa" w:w="4320"/>
          </w:tcPr>
          <w:p>
            <w:r>
              <w:t>Interest on the Bonds will start to accrue on Issue Date and shall be payable semi-annually in arrears. Day-count fraction for coupon is “30/360”, business day convention is “unadjusted” and business day is “Oslo” and “New York”.</w:t>
            </w:r>
          </w:p>
        </w:tc>
      </w:tr>
      <w:tr>
        <w:tc>
          <w:tcPr>
            <w:tcW w:type="dxa" w:w="4320"/>
          </w:tcPr>
          <w:p>
            <w:r>
              <w:t>Amortization</w:t>
            </w:r>
          </w:p>
        </w:tc>
        <w:tc>
          <w:tcPr>
            <w:tcW w:type="dxa" w:w="4320"/>
          </w:tcPr>
          <w:p>
            <w:r>
              <w:t>The Bonds shall be repaid in full at the Maturity Date at 100% of the Nominal Amount.</w:t>
            </w:r>
          </w:p>
        </w:tc>
      </w:tr>
      <w:tr>
        <w:tc>
          <w:tcPr>
            <w:tcW w:type="dxa" w:w="4320"/>
          </w:tcPr>
          <w:p>
            <w:r>
              <w:t>Nominal Amount</w:t>
            </w:r>
          </w:p>
        </w:tc>
        <w:tc>
          <w:tcPr>
            <w:tcW w:type="dxa" w:w="4320"/>
          </w:tcPr>
          <w:p>
            <w:r>
              <w:t>The Bonds will have a nominal amount of USD 2,000 each.</w:t>
            </w:r>
          </w:p>
        </w:tc>
      </w:tr>
      <w:tr>
        <w:tc>
          <w:tcPr>
            <w:tcW w:type="dxa" w:w="4320"/>
          </w:tcPr>
          <w:p>
            <w:r>
              <w:t>Minimum Subscription</w:t>
            </w:r>
          </w:p>
        </w:tc>
        <w:tc>
          <w:tcPr>
            <w:tcW w:type="dxa" w:w="4320"/>
          </w:tcPr>
          <w:p>
            <w:r>
              <w:t>Minimum subscription and allotment amount shall be USD 200,000.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