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43.xml" ContentType="application/vnd.openxmlformats-officedocument.wordprocessingml.footer+xml"/>
  <Override PartName="/word/footer9.xml" ContentType="application/vnd.openxmlformats-officedocument.wordprocessingml.footer+xml"/>
  <Override PartName="/word/footer42.xml" ContentType="application/vnd.openxmlformats-officedocument.wordprocessingml.footer+xml"/>
  <Override PartName="/word/footer8.xml" ContentType="application/vnd.openxmlformats-officedocument.wordprocessingml.footer+xml"/>
  <Override PartName="/word/footer41.xml" ContentType="application/vnd.openxmlformats-officedocument.wordprocessingml.footer+xml"/>
  <Override PartName="/word/footer7.xml" ContentType="application/vnd.openxmlformats-officedocument.wordprocessingml.footer+xml"/>
  <Override PartName="/word/footer40.xml" ContentType="application/vnd.openxmlformats-officedocument.wordprocessingml.footer+xml"/>
  <Override PartName="/word/footer6.xml" ContentType="application/vnd.openxmlformats-officedocument.wordprocessingml.footer+xml"/>
  <Override PartName="/word/footer36.xml" ContentType="application/vnd.openxmlformats-officedocument.wordprocessingml.footer+xml"/>
  <Override PartName="/word/footer35.xml" ContentType="application/vnd.openxmlformats-officedocument.wordprocessingml.footer+xml"/>
  <Override PartName="/word/settings.xml" ContentType="application/vnd.openxmlformats-officedocument.wordprocessingml.settings+xml"/>
  <Override PartName="/word/footer34.xml" ContentType="application/vnd.openxmlformats-officedocument.wordprocessingml.footer+xml"/>
  <Override PartName="/word/footer33.xml" ContentType="application/vnd.openxmlformats-officedocument.wordprocessingml.footer+xml"/>
  <Override PartName="/word/footer32.xml" ContentType="application/vnd.openxmlformats-officedocument.wordprocessingml.footer+xml"/>
  <Override PartName="/word/footnotes.xml" ContentType="application/vnd.openxmlformats-officedocument.wordprocessingml.footnotes+xml"/>
  <Override PartName="/word/footer31.xml" ContentType="application/vnd.openxmlformats-officedocument.wordprocessingml.footer+xml"/>
  <Override PartName="/word/styles.xml" ContentType="application/vnd.openxmlformats-officedocument.wordprocessingml.styles+xml"/>
  <Override PartName="/word/footer30.xml" ContentType="application/vnd.openxmlformats-officedocument.wordprocessingml.footer+xml"/>
  <Override PartName="/word/footer29.xml" ContentType="application/vnd.openxmlformats-officedocument.wordprocessingml.footer+xml"/>
  <Override PartName="/word/footer27.xml" ContentType="application/vnd.openxmlformats-officedocument.wordprocessingml.footer+xml"/>
  <Override PartName="/word/footer26.xml" ContentType="application/vnd.openxmlformats-officedocument.wordprocessingml.footer+xml"/>
  <Override PartName="/word/footer23.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20.xml" ContentType="application/vnd.openxmlformats-officedocument.wordprocessingml.footer+xml"/>
  <Override PartName="/word/footer4.xml" ContentType="application/vnd.openxmlformats-officedocument.wordprocessingml.footer+xml"/>
  <Override PartName="/word/footer19.xml" ContentType="application/vnd.openxmlformats-officedocument.wordprocessingml.footer+xml"/>
  <Override PartName="/word/footer1.xml" ContentType="application/vnd.openxmlformats-officedocument.wordprocessingml.footer+xml"/>
  <Override PartName="/word/footer39.xml" ContentType="application/vnd.openxmlformats-officedocument.wordprocessingml.footer+xml"/>
  <Override PartName="/word/footer3.xml" ContentType="application/vnd.openxmlformats-officedocument.wordprocessingml.footer+xml"/>
  <Override PartName="/word/footer22.xml" ContentType="application/vnd.openxmlformats-officedocument.wordprocessingml.footer+xml"/>
  <Override PartName="/word/footer50.xml" ContentType="application/vnd.openxmlformats-officedocument.wordprocessingml.footer+xml"/>
  <Override PartName="/word/footer17.xml" ContentType="application/vnd.openxmlformats-officedocument.wordprocessingml.footer+xml"/>
  <Override PartName="/word/footer51.xml" ContentType="application/vnd.openxmlformats-officedocument.wordprocessingml.footer+xml"/>
  <Override PartName="/word/footer18.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_rels/document.xml.rels" ContentType="application/vnd.openxmlformats-package.relationships+xml"/>
  <Override PartName="/word/footer60.xml" ContentType="application/vnd.openxmlformats-officedocument.wordprocessingml.footer+xml"/>
  <Override PartName="/word/footer61.xml" ContentType="application/vnd.openxmlformats-officedocument.wordprocessingml.footer+xml"/>
  <Override PartName="/word/footer28.xml" ContentType="application/vnd.openxmlformats-officedocument.wordprocessingml.footer+xml"/>
  <Override PartName="/word/footer55.xml" ContentType="application/vnd.openxmlformats-officedocument.wordprocessingml.footer+xml"/>
  <Override PartName="/word/footer70.xml" ContentType="application/vnd.openxmlformats-officedocument.wordprocessingml.footer+xml"/>
  <Override PartName="/word/footer37.xml" ContentType="application/vnd.openxmlformats-officedocument.wordprocessingml.footer+xml"/>
  <Override PartName="/word/footer64.xml" ContentType="application/vnd.openxmlformats-officedocument.wordprocessingml.footer+xml"/>
  <Override PartName="/word/media/image1.png" ContentType="image/png"/>
  <Override PartName="/word/media/image2.wmf" ContentType="image/x-wmf"/>
  <Override PartName="/word/footer11.xml" ContentType="application/vnd.openxmlformats-officedocument.wordprocessingml.footer+xml"/>
  <Override PartName="/word/footer68.xml" ContentType="application/vnd.openxmlformats-officedocument.wordprocessingml.footer+xml"/>
  <Override PartName="/word/footer15.xml" ContentType="application/vnd.openxmlformats-officedocument.wordprocessingml.footer+xml"/>
  <Override PartName="/word/footer56.xml" ContentType="application/vnd.openxmlformats-officedocument.wordprocessingml.footer+xml"/>
  <Override PartName="/word/footer71.xml" ContentType="application/vnd.openxmlformats-officedocument.wordprocessingml.footer+xml"/>
  <Override PartName="/word/footer2.xml" ContentType="application/vnd.openxmlformats-officedocument.wordprocessingml.footer+xml"/>
  <Override PartName="/word/footer38.xml" ContentType="application/vnd.openxmlformats-officedocument.wordprocessingml.footer+xml"/>
  <Override PartName="/word/footer65.xml" ContentType="application/vnd.openxmlformats-officedocument.wordprocessingml.footer+xml"/>
  <Override PartName="/word/embeddings/oleObject3.pptx" ContentType="application/vnd.openxmlformats-officedocument.presentationml.presentation"/>
  <Override PartName="/word/embeddings/oleObject4.pptx" ContentType="application/vnd.openxmlformats-officedocument.presentationml.presentation"/>
  <Override PartName="/word/embeddings/oleObject8.pptx" ContentType="application/vnd.openxmlformats-officedocument.presentationml.presentation"/>
  <Override PartName="/word/embeddings/oleObject7.pptx" ContentType="application/vnd.openxmlformats-officedocument.presentationml.presentation"/>
  <Override PartName="/word/embeddings/oleObject2.pptx" ContentType="application/vnd.openxmlformats-officedocument.presentationml.presentation"/>
  <Override PartName="/word/embeddings/oleObject5.pptx" ContentType="application/vnd.openxmlformats-officedocument.presentationml.presentation"/>
  <Override PartName="/word/embeddings/oleObject1.pptx" ContentType="application/vnd.openxmlformats-officedocument.presentationml.presentation"/>
  <Override PartName="/word/embeddings/oleObject6.pptx" ContentType="application/vnd.openxmlformats-officedocument.presentationml.presentation"/>
  <Override PartName="/word/footer12.xml" ContentType="application/vnd.openxmlformats-officedocument.wordprocessingml.footer+xml"/>
  <Override PartName="/word/footer52.xml" ContentType="application/vnd.openxmlformats-officedocument.wordprocessingml.footer+xml"/>
  <Override PartName="/word/numbering.xml" ContentType="application/vnd.openxmlformats-officedocument.wordprocessingml.numbering+xml"/>
  <Override PartName="/word/footer67.xml" ContentType="application/vnd.openxmlformats-officedocument.wordprocessingml.footer+xml"/>
  <Override PartName="/word/footer14.xml" ContentType="application/vnd.openxmlformats-officedocument.wordprocessingml.footer+xml"/>
  <Override PartName="/word/footer66.xml" ContentType="application/vnd.openxmlformats-officedocument.wordprocessingml.footer+xml"/>
  <Override PartName="/word/footer13.xml" ContentType="application/vnd.openxmlformats-officedocument.wordprocessingml.footer+xml"/>
  <Override PartName="/word/footer63.xml" ContentType="application/vnd.openxmlformats-officedocument.wordprocessingml.footer+xml"/>
  <Override PartName="/word/fontTable.xml" ContentType="application/vnd.openxmlformats-officedocument.wordprocessingml.fontTable+xml"/>
  <Override PartName="/word/footer62.xml" ContentType="application/vnd.openxmlformats-officedocument.wordprocessingml.footer+xml"/>
  <Override PartName="/word/footer49.xml" ContentType="application/vnd.openxmlformats-officedocument.wordprocessingml.footer+xml"/>
  <Override PartName="/word/footer48.xml" ContentType="application/vnd.openxmlformats-officedocument.wordprocessingml.footer+xml"/>
  <Override PartName="/word/footer47.xml" ContentType="application/vnd.openxmlformats-officedocument.wordprocessingml.footer+xml"/>
  <Override PartName="/word/footer46.xml" ContentType="application/vnd.openxmlformats-officedocument.wordprocessingml.footer+xml"/>
  <Override PartName="/word/footer45.xml" ContentType="application/vnd.openxmlformats-officedocument.wordprocessingml.footer+xml"/>
  <Override PartName="/word/footer16.xml" ContentType="application/vnd.openxmlformats-officedocument.wordprocessingml.footer+xml"/>
  <Override PartName="/word/footer10.xml" ContentType="application/vnd.openxmlformats-officedocument.wordprocessingml.footer+xml"/>
  <Override PartName="/word/footer69.xml" ContentType="application/vnd.openxmlformats-officedocument.wordprocessingml.footer+xml"/>
  <Override PartName="/word/footer25.xml" ContentType="application/vnd.openxmlformats-officedocument.wordprocessingml.footer+xml"/>
  <Override PartName="/word/footer24.xml" ContentType="application/vnd.openxmlformats-officedocument.wordprocessingml.footer+xml"/>
  <Override PartName="/word/document.xml" ContentType="application/vnd.openxmlformats-officedocument.wordprocessingml.document.main+xml"/>
  <Override PartName="/word/footer44.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6"/>
        </w:rPr>
      </w:pPr>
      <w:r>
        <w:rPr>
          <w:rFonts w:cs="Arial" w:ascii="Arial" w:hAnsi="Arial"/>
          <w:b/>
          <w:sz w:val="36"/>
        </w:rPr>
        <w:t xml:space="preserve">Report on the Implementation of the </w:t>
        <w:br/>
        <w:t>Gun-Free Schools Act in the States and Outlying Areas</w:t>
      </w:r>
    </w:p>
    <w:p>
      <w:pPr>
        <w:pStyle w:val="Normal"/>
        <w:jc w:val="center"/>
        <w:rPr>
          <w:rFonts w:ascii="Arial" w:hAnsi="Arial" w:cs="Arial"/>
          <w:b/>
          <w:b/>
          <w:sz w:val="32"/>
        </w:rPr>
      </w:pPr>
      <w:r>
        <w:rPr>
          <w:rFonts w:cs="Arial" w:ascii="Arial" w:hAnsi="Arial"/>
          <w:b/>
          <w:sz w:val="32"/>
        </w:rPr>
      </w:r>
    </w:p>
    <w:tbl>
      <w:tblPr>
        <w:tblW w:w="6498" w:type="dxa"/>
        <w:jc w:val="center"/>
        <w:tblInd w:w="0" w:type="dxa"/>
        <w:tblCellMar>
          <w:top w:w="0" w:type="dxa"/>
          <w:left w:w="108" w:type="dxa"/>
          <w:bottom w:w="0" w:type="dxa"/>
          <w:right w:w="108" w:type="dxa"/>
        </w:tblCellMar>
      </w:tblPr>
      <w:tblGrid>
        <w:gridCol w:w="6498"/>
      </w:tblGrid>
      <w:tr>
        <w:trPr/>
        <w:tc>
          <w:tcPr>
            <w:tcW w:w="6498" w:type="dxa"/>
            <w:tcBorders>
              <w:top w:val="threeDEmboss" w:sz="12" w:space="0" w:color="000000"/>
            </w:tcBorders>
          </w:tcPr>
          <w:p>
            <w:pPr>
              <w:pStyle w:val="Normal"/>
              <w:snapToGrid w:val="false"/>
              <w:jc w:val="center"/>
              <w:rPr>
                <w:rFonts w:ascii="Arial" w:hAnsi="Arial" w:cs="Arial"/>
                <w:b/>
                <w:b/>
                <w:sz w:val="32"/>
              </w:rPr>
            </w:pPr>
            <w:r>
              <w:rPr>
                <w:rFonts w:cs="Arial" w:ascii="Arial" w:hAnsi="Arial"/>
                <w:b/>
                <w:sz w:val="32"/>
              </w:rPr>
            </w:r>
          </w:p>
        </w:tc>
      </w:tr>
    </w:tbl>
    <w:p>
      <w:pPr>
        <w:pStyle w:val="Normal"/>
        <w:jc w:val="center"/>
        <w:rPr>
          <w:rFonts w:ascii="Arial" w:hAnsi="Arial" w:cs="Arial"/>
          <w:b/>
          <w:b/>
          <w:sz w:val="36"/>
        </w:rPr>
      </w:pPr>
      <w:r>
        <w:rPr>
          <w:rFonts w:cs="Arial" w:ascii="Arial" w:hAnsi="Arial"/>
          <w:b/>
          <w:sz w:val="36"/>
        </w:rPr>
        <w:t>School Year 2001-2002</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2"/>
        </w:rPr>
      </w:pPr>
      <w:r>
        <w:rPr>
          <w:rFonts w:cs="Arial" w:ascii="Arial" w:hAnsi="Arial"/>
          <w:b/>
          <w:sz w:val="36"/>
        </w:rPr>
        <w:t>Final Report</w:t>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sz w:val="36"/>
        </w:rPr>
      </w:pPr>
      <w:r>
        <w:rPr>
          <w:rFonts w:cs="Arial" w:ascii="Arial" w:hAnsi="Arial"/>
          <w:b/>
          <w:sz w:val="36"/>
        </w:rPr>
        <w:t>2004</w:t>
      </w:r>
    </w:p>
    <w:p>
      <w:pPr>
        <w:pStyle w:val="Normal"/>
        <w:jc w:val="center"/>
        <w:rPr>
          <w:rFonts w:ascii="Arial" w:hAnsi="Arial" w:cs="Arial"/>
          <w:sz w:val="36"/>
        </w:rPr>
      </w:pPr>
      <w:r>
        <w:rPr>
          <w:rFonts w:cs="Arial" w:ascii="Arial" w:hAnsi="Arial"/>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spacing w:lineRule="auto" w:line="240" w:before="0" w:after="144"/>
        <w:jc w:val="left"/>
        <w:rPr>
          <w:rFonts w:ascii="Arial" w:hAnsi="Arial" w:cs="Arial"/>
          <w:b/>
          <w:b/>
          <w:spacing w:val="4"/>
          <w:sz w:val="36"/>
        </w:rPr>
      </w:pPr>
      <w:r>
        <w:rPr>
          <w:rFonts w:cs="Arial" w:ascii="Arial" w:hAnsi="Arial"/>
          <w:b/>
          <w:spacing w:val="4"/>
          <w:sz w:val="36"/>
        </w:rPr>
      </w:r>
    </w:p>
    <w:p>
      <w:pPr>
        <w:pStyle w:val="Normal"/>
        <w:spacing w:lineRule="auto" w:line="240"/>
        <w:ind w:right="1728" w:hanging="0"/>
        <w:jc w:val="left"/>
        <w:rPr>
          <w:rFonts w:ascii="Arial" w:hAnsi="Arial" w:cs="Arial"/>
          <w:spacing w:val="4"/>
        </w:rPr>
      </w:pPr>
      <w:r>
        <w:rPr>
          <w:rFonts w:cs="Arial" w:ascii="Arial" w:hAnsi="Arial"/>
          <w:spacing w:val="4"/>
        </w:rPr>
      </w:r>
    </w:p>
    <w:p>
      <w:pPr>
        <w:pStyle w:val="Normal"/>
        <w:spacing w:lineRule="auto" w:line="240"/>
        <w:ind w:right="1728" w:hanging="0"/>
        <w:jc w:val="left"/>
        <w:rPr>
          <w:rFonts w:ascii="Arial" w:hAnsi="Arial" w:cs="Arial"/>
          <w:spacing w:val="4"/>
          <w:lang w:val="en-US" w:eastAsia="en-US"/>
        </w:rPr>
      </w:pPr>
      <w:r>
        <w:rPr>
          <w:rFonts w:cs="Arial" w:ascii="Arial" w:hAnsi="Arial"/>
          <w:spacing w:val="4"/>
          <w:lang w:val="en-US" w:eastAsia="en-US"/>
        </w:rPr>
        <w:drawing>
          <wp:anchor behindDoc="0" distT="0" distB="0" distL="114935" distR="114935" simplePos="0" locked="0" layoutInCell="1" allowOverlap="1" relativeHeight="2">
            <wp:simplePos x="0" y="0"/>
            <wp:positionH relativeFrom="column">
              <wp:posOffset>5303520</wp:posOffset>
            </wp:positionH>
            <wp:positionV relativeFrom="paragraph">
              <wp:posOffset>99695</wp:posOffset>
            </wp:positionV>
            <wp:extent cx="1223010" cy="1257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9" t="-29" r="-29" b="-29"/>
                    <a:stretch>
                      <a:fillRect/>
                    </a:stretch>
                  </pic:blipFill>
                  <pic:spPr bwMode="auto">
                    <a:xfrm>
                      <a:off x="0" y="0"/>
                      <a:ext cx="1223010" cy="1257300"/>
                    </a:xfrm>
                    <a:prstGeom prst="rect">
                      <a:avLst/>
                    </a:prstGeom>
                  </pic:spPr>
                </pic:pic>
              </a:graphicData>
            </a:graphic>
          </wp:anchor>
        </w:drawing>
      </w:r>
    </w:p>
    <w:p>
      <w:pPr>
        <w:pStyle w:val="Normal"/>
        <w:spacing w:lineRule="auto" w:line="240"/>
        <w:ind w:right="1728" w:hanging="0"/>
        <w:jc w:val="left"/>
        <w:rPr>
          <w:rFonts w:ascii="Arial" w:hAnsi="Arial" w:cs="Arial"/>
          <w:spacing w:val="4"/>
        </w:rPr>
      </w:pPr>
      <w:r>
        <w:rPr>
          <w:rFonts w:cs="Arial" w:ascii="Arial" w:hAnsi="Arial"/>
          <w:spacing w:val="4"/>
        </w:rPr>
      </w:r>
    </w:p>
    <w:p>
      <w:pPr>
        <w:pStyle w:val="Normal"/>
        <w:spacing w:lineRule="auto" w:line="240"/>
        <w:ind w:right="1728" w:hanging="0"/>
        <w:jc w:val="left"/>
        <w:rPr>
          <w:rFonts w:ascii="Arial" w:hAnsi="Arial" w:cs="Arial"/>
          <w:spacing w:val="4"/>
        </w:rPr>
      </w:pPr>
      <w:r>
        <w:rPr>
          <w:rFonts w:cs="Arial" w:ascii="Arial" w:hAnsi="Arial"/>
          <w:spacing w:val="4"/>
        </w:rPr>
      </w:r>
    </w:p>
    <w:p>
      <w:pPr>
        <w:pStyle w:val="Normal"/>
        <w:spacing w:lineRule="auto" w:line="240"/>
        <w:ind w:right="1728" w:hanging="0"/>
        <w:jc w:val="left"/>
        <w:rPr>
          <w:rFonts w:ascii="Arial" w:hAnsi="Arial" w:cs="Arial"/>
          <w:spacing w:val="4"/>
        </w:rPr>
      </w:pPr>
      <w:r>
        <w:rPr>
          <w:rFonts w:cs="Arial" w:ascii="Arial" w:hAnsi="Arial"/>
          <w:spacing w:val="4"/>
        </w:rPr>
      </w:r>
    </w:p>
    <w:p>
      <w:pPr>
        <w:pStyle w:val="Normal"/>
        <w:spacing w:lineRule="auto" w:line="240"/>
        <w:ind w:right="1728" w:hanging="0"/>
        <w:jc w:val="left"/>
        <w:rPr>
          <w:rFonts w:ascii="Arial" w:hAnsi="Arial" w:cs="Arial"/>
          <w:spacing w:val="4"/>
        </w:rPr>
      </w:pPr>
      <w:r>
        <w:rPr>
          <w:rFonts w:cs="Arial" w:ascii="Arial" w:hAnsi="Arial"/>
          <w:spacing w:val="4"/>
        </w:rPr>
      </w:r>
    </w:p>
    <w:p>
      <w:pPr>
        <w:pStyle w:val="Normal"/>
        <w:jc w:val="center"/>
        <w:rPr>
          <w:rFonts w:ascii="Arial" w:hAnsi="Arial" w:cs="Arial"/>
          <w:caps/>
          <w:spacing w:val="10"/>
          <w:sz w:val="40"/>
          <w:szCs w:val="40"/>
        </w:rPr>
      </w:pPr>
      <w:r>
        <w:rPr>
          <w:rFonts w:eastAsia="Symbol" w:cs="Symbol" w:ascii="Symbol" w:hAnsi="Symbol"/>
          <w:caps/>
          <w:spacing w:val="10"/>
          <w:sz w:val="40"/>
          <w:szCs w:val="40"/>
        </w:rPr>
        <w:t></w:t>
      </w:r>
      <w:r>
        <w:rPr>
          <w:rFonts w:eastAsia="Arial" w:cs="Arial" w:ascii="Arial" w:hAnsi="Arial"/>
          <w:caps/>
          <w:spacing w:val="10"/>
          <w:sz w:val="40"/>
          <w:szCs w:val="40"/>
        </w:rPr>
        <w:t xml:space="preserve"> </w:t>
      </w:r>
      <w:r>
        <w:rPr>
          <w:rFonts w:eastAsia="Arial" w:cs="Arial" w:ascii="Arial" w:hAnsi="Arial"/>
          <w:caps/>
          <w:spacing w:val="10"/>
          <w:sz w:val="32"/>
        </w:rPr>
        <w:t xml:space="preserve"> </w:t>
      </w:r>
      <w:r>
        <w:rPr>
          <w:rFonts w:cs="Arial" w:ascii="Arial" w:hAnsi="Arial"/>
          <w:caps/>
          <w:spacing w:val="10"/>
          <w:sz w:val="32"/>
        </w:rPr>
        <w:t xml:space="preserve">U.S. </w:t>
      </w:r>
      <w:r>
        <w:rPr>
          <w:rFonts w:cs="Arial" w:ascii="Arial" w:hAnsi="Arial"/>
          <w:spacing w:val="10"/>
          <w:sz w:val="32"/>
        </w:rPr>
        <w:t>Department of Education</w:t>
      </w:r>
      <w:r>
        <w:rPr>
          <w:rFonts w:cs="Arial" w:ascii="Arial" w:hAnsi="Arial"/>
          <w:spacing w:val="10"/>
        </w:rPr>
        <w:t xml:space="preserve"> </w:t>
      </w:r>
      <w:r>
        <w:rPr>
          <w:rFonts w:cs="Arial" w:ascii="Arial" w:hAnsi="Arial"/>
          <w:caps/>
          <w:spacing w:val="10"/>
        </w:rPr>
        <w:t xml:space="preserve"> </w:t>
      </w:r>
      <w:r>
        <w:rPr>
          <w:rFonts w:eastAsia="Symbol" w:cs="Symbol" w:ascii="Symbol" w:hAnsi="Symbol"/>
          <w:caps/>
          <w:spacing w:val="10"/>
          <w:sz w:val="40"/>
          <w:szCs w:val="40"/>
        </w:rPr>
        <w:t></w:t>
      </w:r>
    </w:p>
    <w:p>
      <w:pPr>
        <w:pStyle w:val="Normal"/>
        <w:jc w:val="center"/>
        <w:rPr>
          <w:rFonts w:ascii="Arial" w:hAnsi="Arial" w:cs="Arial"/>
          <w:b/>
          <w:b/>
          <w:sz w:val="32"/>
          <w:szCs w:val="32"/>
        </w:rPr>
      </w:pPr>
      <w:r>
        <w:rPr>
          <w:rFonts w:cs="Arial" w:ascii="Arial" w:hAnsi="Arial"/>
          <w:spacing w:val="10"/>
          <w:sz w:val="32"/>
          <w:szCs w:val="32"/>
        </w:rPr>
        <w:t>Office of Safe and Drug-Free Schools</w:t>
      </w:r>
      <w:r>
        <w:br w:type="page"/>
      </w:r>
    </w:p>
    <w:p>
      <w:pPr>
        <w:pStyle w:val="Normal"/>
        <w:numPr>
          <w:ilvl w:val="0"/>
          <w:numId w:val="0"/>
        </w:numPr>
        <w:jc w:val="center"/>
        <w:rPr>
          <w:rFonts w:ascii="Arial" w:hAnsi="Arial" w:cs="Arial"/>
          <w:b/>
          <w:b/>
          <w:sz w:val="32"/>
          <w:szCs w:val="32"/>
        </w:rPr>
      </w:pPr>
      <w:r>
        <w:rPr>
          <w:rFonts w:cs="Arial" w:ascii="Arial" w:hAnsi="Arial"/>
          <w:b/>
          <w:sz w:val="32"/>
          <w:szCs w:val="32"/>
        </w:rPr>
      </w:r>
      <w:r>
        <w:br w:type="page"/>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6"/>
        </w:rPr>
      </w:pPr>
      <w:r>
        <w:rPr>
          <w:rFonts w:cs="Arial" w:ascii="Arial" w:hAnsi="Arial"/>
          <w:b/>
          <w:sz w:val="36"/>
        </w:rPr>
        <w:t xml:space="preserve">Report on the Implementation of the </w:t>
        <w:br/>
        <w:t>Gun-Free Schools Act in the States and Outlying Areas</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School Year 2001-2002</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2"/>
        </w:rPr>
      </w:pPr>
      <w:r>
        <w:rPr>
          <w:rFonts w:cs="Arial" w:ascii="Arial" w:hAnsi="Arial"/>
          <w:b/>
          <w:sz w:val="36"/>
        </w:rPr>
        <w:t>Final Report</w:t>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b/>
          <w:b/>
          <w:sz w:val="32"/>
        </w:rPr>
      </w:pPr>
      <w:r>
        <w:rPr>
          <w:rFonts w:cs="Arial" w:ascii="Arial" w:hAnsi="Arial"/>
          <w:b/>
          <w:sz w:val="32"/>
        </w:rPr>
      </w:r>
    </w:p>
    <w:p>
      <w:pPr>
        <w:pStyle w:val="Normal"/>
        <w:jc w:val="center"/>
        <w:rPr>
          <w:rFonts w:ascii="Arial" w:hAnsi="Arial" w:cs="Arial"/>
          <w:sz w:val="36"/>
        </w:rPr>
      </w:pPr>
      <w:r>
        <w:rPr>
          <w:rFonts w:cs="Arial" w:ascii="Arial" w:hAnsi="Arial"/>
          <w:b/>
          <w:sz w:val="36"/>
        </w:rPr>
        <w:t>September 2004</w:t>
      </w:r>
    </w:p>
    <w:p>
      <w:pPr>
        <w:pStyle w:val="Normal"/>
        <w:jc w:val="center"/>
        <w:rPr>
          <w:rFonts w:ascii="Arial" w:hAnsi="Arial" w:cs="Arial"/>
          <w:sz w:val="36"/>
        </w:rPr>
      </w:pPr>
      <w:r>
        <w:rPr>
          <w:rFonts w:cs="Arial" w:ascii="Arial" w:hAnsi="Arial"/>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spacing w:lineRule="auto" w:line="240"/>
        <w:ind w:left="3456" w:right="3456" w:hanging="0"/>
        <w:jc w:val="center"/>
        <w:rPr>
          <w:rFonts w:ascii="Arial" w:hAnsi="Arial" w:cs="Arial"/>
          <w:b/>
          <w:b/>
          <w:spacing w:val="14"/>
          <w:sz w:val="32"/>
        </w:rPr>
      </w:pPr>
      <w:r>
        <w:rPr>
          <w:rFonts w:cs="Arial" w:ascii="Arial" w:hAnsi="Arial"/>
          <w:b/>
          <w:spacing w:val="14"/>
          <w:sz w:val="32"/>
        </w:rPr>
      </w:r>
    </w:p>
    <w:p>
      <w:pPr>
        <w:pStyle w:val="Normal"/>
        <w:spacing w:lineRule="auto" w:line="240"/>
        <w:jc w:val="center"/>
        <w:rPr>
          <w:rFonts w:ascii="Arial" w:hAnsi="Arial" w:cs="Arial"/>
          <w:b/>
          <w:b/>
          <w:spacing w:val="4"/>
        </w:rPr>
      </w:pPr>
      <w:r>
        <w:rPr>
          <w:rFonts w:cs="Arial" w:ascii="Arial" w:hAnsi="Arial"/>
          <w:b/>
          <w:spacing w:val="4"/>
        </w:rPr>
        <w:t>Prepared for:</w:t>
      </w:r>
    </w:p>
    <w:p>
      <w:pPr>
        <w:pStyle w:val="CTContractInformation"/>
        <w:tabs>
          <w:tab w:val="clear" w:pos="1958"/>
        </w:tabs>
        <w:bidi w:val="0"/>
        <w:spacing w:lineRule="auto" w:line="240"/>
        <w:jc w:val="center"/>
        <w:rPr>
          <w:rFonts w:ascii="Arial" w:hAnsi="Arial" w:cs="Arial"/>
          <w:vanish w:val="false"/>
          <w:spacing w:val="4"/>
        </w:rPr>
      </w:pPr>
      <w:r>
        <w:rPr>
          <w:rFonts w:cs="Arial" w:ascii="Arial" w:hAnsi="Arial"/>
          <w:vanish w:val="false"/>
          <w:spacing w:val="4"/>
        </w:rPr>
        <w:t>U.S. Department of Education</w:t>
      </w:r>
    </w:p>
    <w:p>
      <w:pPr>
        <w:pStyle w:val="Normal"/>
        <w:spacing w:lineRule="auto" w:line="240"/>
        <w:jc w:val="center"/>
        <w:rPr>
          <w:rFonts w:ascii="Arial" w:hAnsi="Arial" w:cs="Arial"/>
          <w:spacing w:val="2"/>
        </w:rPr>
      </w:pPr>
      <w:r>
        <w:rPr>
          <w:rFonts w:cs="Arial" w:ascii="Arial" w:hAnsi="Arial"/>
          <w:spacing w:val="2"/>
        </w:rPr>
        <w:t>Office of Safe and Drug-Free Schools</w:t>
      </w:r>
    </w:p>
    <w:p>
      <w:pPr>
        <w:pStyle w:val="Normal"/>
        <w:spacing w:lineRule="auto" w:line="240"/>
        <w:jc w:val="center"/>
        <w:rPr>
          <w:rFonts w:ascii="Arial" w:hAnsi="Arial" w:cs="Arial"/>
          <w:spacing w:val="2"/>
        </w:rPr>
      </w:pPr>
      <w:r>
        <w:rPr>
          <w:rFonts w:cs="Arial" w:ascii="Arial" w:hAnsi="Arial"/>
          <w:spacing w:val="2"/>
        </w:rPr>
      </w:r>
    </w:p>
    <w:p>
      <w:pPr>
        <w:pStyle w:val="Normal"/>
        <w:spacing w:lineRule="auto" w:line="240"/>
        <w:jc w:val="center"/>
        <w:rPr>
          <w:rFonts w:ascii="Arial" w:hAnsi="Arial" w:cs="Arial"/>
          <w:spacing w:val="2"/>
        </w:rPr>
      </w:pPr>
      <w:r>
        <w:rPr>
          <w:rFonts w:cs="Arial" w:ascii="Arial" w:hAnsi="Arial"/>
          <w:spacing w:val="2"/>
        </w:rPr>
      </w:r>
    </w:p>
    <w:p>
      <w:pPr>
        <w:pStyle w:val="Normal"/>
        <w:spacing w:lineRule="auto" w:line="240"/>
        <w:jc w:val="center"/>
        <w:rPr>
          <w:rFonts w:ascii="Arial" w:hAnsi="Arial" w:cs="Arial"/>
          <w:spacing w:val="2"/>
        </w:rPr>
      </w:pPr>
      <w:r>
        <w:rPr>
          <w:rFonts w:cs="Arial" w:ascii="Arial" w:hAnsi="Arial"/>
          <w:spacing w:val="2"/>
        </w:rPr>
      </w:r>
    </w:p>
    <w:p>
      <w:pPr>
        <w:pStyle w:val="Normal"/>
        <w:spacing w:lineRule="auto" w:line="240"/>
        <w:jc w:val="center"/>
        <w:rPr>
          <w:rFonts w:ascii="Arial" w:hAnsi="Arial" w:cs="Arial"/>
          <w:spacing w:val="2"/>
        </w:rPr>
      </w:pPr>
      <w:r>
        <w:rPr>
          <w:rFonts w:cs="Arial" w:ascii="Arial" w:hAnsi="Arial"/>
          <w:b/>
          <w:spacing w:val="4"/>
        </w:rPr>
        <w:t>Prepared by:</w:t>
      </w:r>
    </w:p>
    <w:p>
      <w:pPr>
        <w:pStyle w:val="CTContractInformation"/>
        <w:tabs>
          <w:tab w:val="clear" w:pos="1958"/>
        </w:tabs>
        <w:bidi w:val="0"/>
        <w:spacing w:lineRule="auto" w:line="240"/>
        <w:jc w:val="center"/>
        <w:rPr>
          <w:rFonts w:ascii="Arial" w:hAnsi="Arial" w:cs="Arial"/>
          <w:vanish w:val="false"/>
          <w:spacing w:val="4"/>
        </w:rPr>
      </w:pPr>
      <w:r>
        <w:rPr>
          <w:rFonts w:cs="Arial" w:ascii="Arial" w:hAnsi="Arial"/>
          <w:vanish w:val="false"/>
          <w:spacing w:val="4"/>
        </w:rPr>
        <w:t>Karen Gray-Adams</w:t>
      </w:r>
    </w:p>
    <w:p>
      <w:pPr>
        <w:pStyle w:val="CTContractInformation"/>
        <w:tabs>
          <w:tab w:val="clear" w:pos="1958"/>
        </w:tabs>
        <w:bidi w:val="0"/>
        <w:spacing w:lineRule="auto" w:line="240"/>
        <w:jc w:val="center"/>
        <w:rPr>
          <w:rFonts w:ascii="Arial" w:hAnsi="Arial" w:cs="Arial"/>
          <w:vanish w:val="false"/>
          <w:spacing w:val="4"/>
        </w:rPr>
      </w:pPr>
      <w:r>
        <w:rPr>
          <w:rFonts w:cs="Arial" w:ascii="Arial" w:hAnsi="Arial"/>
          <w:vanish w:val="false"/>
          <w:spacing w:val="4"/>
        </w:rPr>
        <w:t>Beth Sinclair</w:t>
      </w:r>
    </w:p>
    <w:p>
      <w:pPr>
        <w:pStyle w:val="CTContractInformation"/>
        <w:tabs>
          <w:tab w:val="clear" w:pos="1958"/>
        </w:tabs>
        <w:bidi w:val="0"/>
        <w:spacing w:lineRule="auto" w:line="240"/>
        <w:jc w:val="center"/>
        <w:rPr>
          <w:rFonts w:ascii="Arial" w:hAnsi="Arial" w:cs="Arial"/>
          <w:vanish w:val="false"/>
          <w:spacing w:val="4"/>
        </w:rPr>
      </w:pPr>
      <w:r>
        <w:rPr>
          <w:rFonts w:cs="Arial" w:ascii="Arial" w:hAnsi="Arial"/>
          <w:vanish w:val="false"/>
          <w:spacing w:val="4"/>
        </w:rPr>
        <w:t>Westat</w:t>
      </w:r>
    </w:p>
    <w:p>
      <w:pPr>
        <w:pStyle w:val="Normal"/>
        <w:jc w:val="center"/>
        <w:rPr>
          <w:rFonts w:ascii="Arial" w:hAnsi="Arial" w:cs="Arial"/>
        </w:rPr>
      </w:pPr>
      <w:r>
        <w:rPr>
          <w:rFonts w:cs="Arial" w:ascii="Arial" w:hAnsi="Arial"/>
        </w:rPr>
        <w:t>Rockville, MD</w:t>
      </w:r>
    </w:p>
    <w:p>
      <w:pPr>
        <w:sectPr>
          <w:type w:val="nextPage"/>
          <w:pgSz w:w="12240" w:h="15840"/>
          <w:pgMar w:left="1440" w:right="1440" w:header="0" w:top="864" w:footer="0" w:bottom="720" w:gutter="0"/>
          <w:pgNumType w:start="2" w:fmt="lowerRoman"/>
          <w:formProt w:val="false"/>
          <w:textDirection w:val="lrTb"/>
          <w:docGrid w:type="default" w:linePitch="360" w:charSpace="0"/>
        </w:sectPr>
        <w:pStyle w:val="Normal"/>
        <w:spacing w:lineRule="auto" w:line="240"/>
        <w:jc w:val="center"/>
        <w:rPr>
          <w:rFonts w:ascii="Arial" w:hAnsi="Arial" w:cs="Arial"/>
          <w:b/>
          <w:b/>
          <w:spacing w:val="4"/>
        </w:rPr>
      </w:pPr>
      <w:r>
        <w:rPr>
          <w:rFonts w:cs="Arial" w:ascii="Arial" w:hAnsi="Arial"/>
          <w:b/>
          <w:spacing w:val="4"/>
        </w:rPr>
      </w:r>
    </w:p>
    <w:p>
      <w:pPr>
        <w:pStyle w:val="Normal"/>
        <w:spacing w:lineRule="auto" w:line="240"/>
        <w:jc w:val="left"/>
        <w:rPr>
          <w:rFonts w:ascii="Arial" w:hAnsi="Arial" w:cs="Arial"/>
          <w:b/>
          <w:b/>
          <w:spacing w:val="4"/>
        </w:rPr>
      </w:pPr>
      <w:r>
        <w:rPr>
          <w:rFonts w:cs="Arial" w:ascii="Arial" w:hAnsi="Arial"/>
          <w:b/>
          <w:spacing w:val="4"/>
        </w:rPr>
      </w:r>
    </w:p>
    <w:p>
      <w:pPr>
        <w:pStyle w:val="Normal"/>
        <w:spacing w:lineRule="auto" w:line="240"/>
        <w:jc w:val="left"/>
        <w:rPr>
          <w:rFonts w:ascii="Arial" w:hAnsi="Arial" w:cs="Arial"/>
          <w:b/>
          <w:b/>
          <w:spacing w:val="4"/>
        </w:rPr>
      </w:pPr>
      <w:r>
        <w:rPr>
          <w:rFonts w:cs="Arial" w:ascii="Arial" w:hAnsi="Arial"/>
          <w:b/>
          <w:spacing w:val="4"/>
        </w:rPr>
        <w:t xml:space="preserve">U.S. Department of Education </w:t>
      </w:r>
    </w:p>
    <w:p>
      <w:pPr>
        <w:pStyle w:val="Normal"/>
        <w:spacing w:lineRule="auto" w:line="240"/>
        <w:jc w:val="left"/>
        <w:rPr>
          <w:rFonts w:ascii="Arial" w:hAnsi="Arial" w:cs="Arial"/>
          <w:spacing w:val="4"/>
        </w:rPr>
      </w:pPr>
      <w:r>
        <w:rPr>
          <w:rFonts w:cs="Arial" w:ascii="Arial" w:hAnsi="Arial"/>
          <w:spacing w:val="4"/>
        </w:rPr>
        <w:t>Rod Paige</w:t>
      </w:r>
    </w:p>
    <w:p>
      <w:pPr>
        <w:pStyle w:val="CTContractInformation"/>
        <w:tabs>
          <w:tab w:val="clear" w:pos="1958"/>
        </w:tabs>
        <w:bidi w:val="0"/>
        <w:spacing w:lineRule="auto" w:line="240"/>
        <w:jc w:val="left"/>
        <w:rPr>
          <w:rFonts w:ascii="Arial" w:hAnsi="Arial" w:cs="Arial"/>
          <w:i/>
          <w:i/>
          <w:vanish w:val="false"/>
          <w:spacing w:val="4"/>
        </w:rPr>
      </w:pPr>
      <w:r>
        <w:rPr>
          <w:rFonts w:cs="Arial" w:ascii="Arial" w:hAnsi="Arial"/>
          <w:i/>
          <w:vanish w:val="false"/>
          <w:spacing w:val="4"/>
        </w:rPr>
        <w:t>Secretary</w:t>
      </w:r>
    </w:p>
    <w:p>
      <w:pPr>
        <w:pStyle w:val="Normal"/>
        <w:spacing w:lineRule="auto" w:line="240"/>
        <w:jc w:val="left"/>
        <w:rPr>
          <w:rFonts w:ascii="Arial" w:hAnsi="Arial" w:cs="Arial"/>
          <w:b/>
          <w:b/>
          <w:i/>
          <w:i/>
          <w:vanish w:val="false"/>
          <w:spacing w:val="4"/>
        </w:rPr>
      </w:pPr>
      <w:r>
        <w:rPr>
          <w:rFonts w:cs="Arial" w:ascii="Arial" w:hAnsi="Arial"/>
          <w:b/>
          <w:i/>
          <w:vanish w:val="false"/>
          <w:spacing w:val="4"/>
        </w:rPr>
      </w:r>
    </w:p>
    <w:p>
      <w:pPr>
        <w:pStyle w:val="Normal"/>
        <w:spacing w:lineRule="auto" w:line="240"/>
        <w:jc w:val="left"/>
        <w:rPr>
          <w:rFonts w:ascii="Arial" w:hAnsi="Arial" w:cs="Arial"/>
          <w:b/>
          <w:b/>
          <w:spacing w:val="4"/>
        </w:rPr>
      </w:pPr>
      <w:r>
        <w:rPr>
          <w:rFonts w:cs="Arial" w:ascii="Arial" w:hAnsi="Arial"/>
          <w:b/>
          <w:spacing w:val="4"/>
        </w:rPr>
        <w:t xml:space="preserve">Office of Safe and Drug-Free Schools </w:t>
      </w:r>
    </w:p>
    <w:p>
      <w:pPr>
        <w:pStyle w:val="Normal"/>
        <w:spacing w:lineRule="auto" w:line="240"/>
        <w:jc w:val="left"/>
        <w:rPr>
          <w:rFonts w:ascii="Arial" w:hAnsi="Arial" w:cs="Arial"/>
          <w:spacing w:val="4"/>
        </w:rPr>
      </w:pPr>
      <w:r>
        <w:rPr>
          <w:rFonts w:cs="Arial" w:ascii="Arial" w:hAnsi="Arial"/>
          <w:spacing w:val="4"/>
        </w:rPr>
        <w:t>Deborah A. Price</w:t>
      </w:r>
    </w:p>
    <w:p>
      <w:pPr>
        <w:pStyle w:val="Normal"/>
        <w:spacing w:lineRule="auto" w:line="240"/>
        <w:jc w:val="left"/>
        <w:rPr>
          <w:rFonts w:ascii="Arial" w:hAnsi="Arial" w:cs="Arial"/>
          <w:i/>
          <w:i/>
          <w:spacing w:val="4"/>
        </w:rPr>
      </w:pPr>
      <w:r>
        <w:rPr>
          <w:rFonts w:cs="Arial" w:ascii="Arial" w:hAnsi="Arial"/>
          <w:i/>
          <w:spacing w:val="4"/>
        </w:rPr>
        <w:t>Deputy Under Secretary</w:t>
      </w:r>
    </w:p>
    <w:p>
      <w:pPr>
        <w:pStyle w:val="CTContractInformation"/>
        <w:tabs>
          <w:tab w:val="clear" w:pos="1958"/>
        </w:tabs>
        <w:bidi w:val="0"/>
        <w:spacing w:lineRule="auto" w:line="240"/>
        <w:jc w:val="left"/>
        <w:rPr>
          <w:rFonts w:ascii="Arial" w:hAnsi="Arial" w:cs="Arial"/>
          <w:i/>
          <w:i/>
          <w:spacing w:val="4"/>
        </w:rPr>
      </w:pPr>
      <w:r>
        <w:rPr>
          <w:rFonts w:cs="Arial" w:ascii="Arial" w:hAnsi="Arial"/>
          <w:i/>
          <w:spacing w:val="4"/>
        </w:rPr>
      </w:r>
    </w:p>
    <w:p>
      <w:pPr>
        <w:pStyle w:val="CTContractInformation"/>
        <w:tabs>
          <w:tab w:val="clear" w:pos="1958"/>
        </w:tabs>
        <w:bidi w:val="0"/>
        <w:spacing w:lineRule="auto" w:line="240"/>
        <w:jc w:val="left"/>
        <w:rPr/>
      </w:pPr>
      <w:r>
        <w:rPr/>
      </w:r>
    </w:p>
    <w:p>
      <w:pPr>
        <w:pStyle w:val="Normal"/>
        <w:spacing w:lineRule="auto" w:line="240"/>
        <w:jc w:val="left"/>
        <w:rPr>
          <w:rFonts w:ascii="Arial" w:hAnsi="Arial" w:cs="Arial"/>
          <w:spacing w:val="4"/>
        </w:rPr>
      </w:pPr>
      <w:r>
        <w:rPr>
          <w:rFonts w:cs="Arial" w:ascii="Arial" w:hAnsi="Arial"/>
          <w:spacing w:val="4"/>
        </w:rPr>
      </w:r>
    </w:p>
    <w:p>
      <w:pPr>
        <w:pStyle w:val="Normal"/>
        <w:pBdr>
          <w:bottom w:val="single" w:sz="4" w:space="1" w:color="000000"/>
        </w:pBdr>
        <w:spacing w:lineRule="auto" w:line="240"/>
        <w:jc w:val="left"/>
        <w:rPr>
          <w:rFonts w:ascii="Arial" w:hAnsi="Arial" w:cs="Arial"/>
          <w:spacing w:val="4"/>
        </w:rPr>
      </w:pPr>
      <w:r>
        <w:rPr>
          <w:rFonts w:cs="Arial" w:ascii="Arial" w:hAnsi="Arial"/>
          <w:spacing w:val="4"/>
        </w:rPr>
        <w:t>September 2004</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pPr>
      <w:r>
        <w:rPr>
          <w:rFonts w:cs="Arial" w:ascii="Arial" w:hAnsi="Arial"/>
          <w:spacing w:val="4"/>
        </w:rPr>
        <w:t xml:space="preserve">This report is in the public domain. Authorization to reproduce it in whole or in part is granted. While permission to reprint this publication is not necessary, the citation should be: U.S. Department of Education, Office of Safe and Drug-Free Schools, </w:t>
      </w:r>
      <w:r>
        <w:rPr>
          <w:rFonts w:cs="Arial" w:ascii="Arial" w:hAnsi="Arial"/>
          <w:i/>
          <w:spacing w:val="4"/>
        </w:rPr>
        <w:t>Report on the Implementation of the Gun-Free Schools Act in the States and Outlying Areas for School Year 2001-2002</w:t>
      </w:r>
      <w:r>
        <w:rPr>
          <w:rFonts w:cs="Arial" w:ascii="Arial" w:hAnsi="Arial"/>
          <w:spacing w:val="4"/>
        </w:rPr>
        <w:t>, Washington, DC, 2003.</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spacing w:val="4"/>
        </w:rPr>
      </w:pPr>
      <w:r>
        <w:rPr>
          <w:rFonts w:cs="Arial" w:ascii="Arial" w:hAnsi="Arial"/>
          <w:spacing w:val="4"/>
        </w:rPr>
        <w:t>To obtain copies of this report, write:</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ind w:left="720" w:hanging="0"/>
        <w:jc w:val="left"/>
        <w:rPr>
          <w:rFonts w:ascii="Arial" w:hAnsi="Arial" w:cs="Arial"/>
          <w:spacing w:val="4"/>
        </w:rPr>
      </w:pPr>
      <w:r>
        <w:rPr>
          <w:rFonts w:cs="Arial" w:ascii="Arial" w:hAnsi="Arial"/>
          <w:spacing w:val="4"/>
        </w:rPr>
        <w:t>U.S. Department of Education</w:t>
      </w:r>
    </w:p>
    <w:p>
      <w:pPr>
        <w:pStyle w:val="Normal"/>
        <w:spacing w:lineRule="auto" w:line="240"/>
        <w:ind w:left="720" w:hanging="0"/>
        <w:jc w:val="left"/>
        <w:rPr>
          <w:rFonts w:ascii="Arial" w:hAnsi="Arial" w:cs="Arial"/>
          <w:spacing w:val="4"/>
        </w:rPr>
      </w:pPr>
      <w:r>
        <w:rPr>
          <w:rFonts w:cs="Arial" w:ascii="Arial" w:hAnsi="Arial"/>
          <w:spacing w:val="4"/>
        </w:rPr>
        <w:t xml:space="preserve">Office of Safe and Drug-Free Schools, </w:t>
        <w:br/>
        <w:t>400 Maryland Avenue, S.W.</w:t>
      </w:r>
    </w:p>
    <w:p>
      <w:pPr>
        <w:pStyle w:val="Normal"/>
        <w:spacing w:lineRule="auto" w:line="240"/>
        <w:ind w:left="720" w:hanging="0"/>
        <w:jc w:val="left"/>
        <w:rPr>
          <w:rFonts w:ascii="Arial" w:hAnsi="Arial" w:cs="Arial"/>
          <w:spacing w:val="4"/>
        </w:rPr>
      </w:pPr>
      <w:r>
        <w:rPr>
          <w:rFonts w:cs="Arial" w:ascii="Arial" w:hAnsi="Arial"/>
          <w:spacing w:val="4"/>
        </w:rPr>
        <w:t>Washington, DC 20202-6450;</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pPr>
      <w:r>
        <w:rPr>
          <w:rFonts w:cs="Arial" w:ascii="Arial" w:hAnsi="Arial"/>
          <w:spacing w:val="4"/>
        </w:rPr>
        <w:t xml:space="preserve">or </w:t>
      </w:r>
      <w:r>
        <w:rPr>
          <w:rFonts w:cs="Arial" w:ascii="Arial" w:hAnsi="Arial"/>
          <w:b/>
          <w:spacing w:val="4"/>
        </w:rPr>
        <w:t>fax</w:t>
      </w:r>
      <w:r>
        <w:rPr>
          <w:rFonts w:cs="Arial" w:ascii="Arial" w:hAnsi="Arial"/>
          <w:spacing w:val="4"/>
        </w:rPr>
        <w:t xml:space="preserve"> your request to: (202) 260-7767;</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pPr>
      <w:r>
        <w:rPr>
          <w:rFonts w:cs="Arial" w:ascii="Arial" w:hAnsi="Arial"/>
          <w:spacing w:val="4"/>
        </w:rPr>
        <w:t xml:space="preserve">or </w:t>
      </w:r>
      <w:r>
        <w:rPr>
          <w:rFonts w:cs="Arial" w:ascii="Arial" w:hAnsi="Arial"/>
          <w:b/>
          <w:spacing w:val="4"/>
        </w:rPr>
        <w:t>e-mail</w:t>
      </w:r>
      <w:r>
        <w:rPr>
          <w:rFonts w:cs="Arial" w:ascii="Arial" w:hAnsi="Arial"/>
          <w:spacing w:val="4"/>
        </w:rPr>
        <w:t xml:space="preserve"> your request to: </w:t>
      </w:r>
      <w:hyperlink r:id="rId3">
        <w:r>
          <w:rPr>
            <w:rStyle w:val="InternetLink"/>
            <w:rFonts w:cs="Arial" w:ascii="Arial" w:hAnsi="Arial"/>
            <w:spacing w:val="4"/>
          </w:rPr>
          <w:t>safeschl@ed.gov</w:t>
        </w:r>
      </w:hyperlink>
      <w:r>
        <w:rPr>
          <w:rFonts w:cs="Arial" w:ascii="Arial" w:hAnsi="Arial"/>
          <w:spacing w:val="4"/>
        </w:rPr>
        <w:t>;</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pPr>
      <w:r>
        <w:rPr>
          <w:rFonts w:cs="Arial" w:ascii="Arial" w:hAnsi="Arial"/>
          <w:spacing w:val="4"/>
        </w:rPr>
        <w:t xml:space="preserve">or </w:t>
      </w:r>
      <w:r>
        <w:rPr>
          <w:rFonts w:cs="Arial" w:ascii="Arial" w:hAnsi="Arial"/>
          <w:b/>
          <w:spacing w:val="4"/>
        </w:rPr>
        <w:t>call in</w:t>
      </w:r>
      <w:r>
        <w:rPr>
          <w:rFonts w:cs="Arial" w:ascii="Arial" w:hAnsi="Arial"/>
          <w:spacing w:val="4"/>
        </w:rPr>
        <w:t xml:space="preserve"> your request: (202) 260-3954.</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spacing w:val="4"/>
        </w:rPr>
      </w:pPr>
      <w:r>
        <w:rPr>
          <w:rFonts w:cs="Arial" w:ascii="Arial" w:hAnsi="Arial"/>
          <w:spacing w:val="4"/>
        </w:rPr>
        <w:t>This report is also available on the Department's Web site at www.ed.gov/about/offices/list/osdfs/index.html.</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spacing w:val="4"/>
        </w:rPr>
      </w:pPr>
      <w:r>
        <w:rPr>
          <w:rFonts w:cs="Arial" w:ascii="Arial" w:hAnsi="Arial"/>
          <w:spacing w:val="4"/>
        </w:rPr>
        <w:t>On request, this publication is available in alternate formats, such as Braille, large print, audiotape or computer diskette. For more information, please contact the Department's Alternate Format Center (202) 260-9895 or (202) 205-8113.</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spacing w:val="4"/>
        </w:rPr>
      </w:pPr>
      <w:r>
        <w:rPr>
          <w:rFonts w:cs="Arial" w:ascii="Arial" w:hAnsi="Arial"/>
          <w:spacing w:val="4"/>
        </w:rPr>
      </w:r>
      <w:r>
        <w:br w:type="page"/>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center"/>
        <w:rPr>
          <w:rFonts w:ascii="Arial" w:hAnsi="Arial" w:cs="Arial"/>
          <w:b/>
          <w:b/>
          <w:spacing w:val="4"/>
          <w:sz w:val="24"/>
          <w:szCs w:val="24"/>
        </w:rPr>
      </w:pPr>
      <w:r>
        <w:rPr>
          <w:rFonts w:cs="Arial" w:ascii="Arial" w:hAnsi="Arial"/>
          <w:b/>
          <w:spacing w:val="4"/>
          <w:sz w:val="24"/>
          <w:szCs w:val="24"/>
        </w:rPr>
        <w:t>Contents</w:t>
      </w:r>
    </w:p>
    <w:p>
      <w:pPr>
        <w:pStyle w:val="Normal"/>
        <w:spacing w:lineRule="auto" w:line="240"/>
        <w:jc w:val="left"/>
        <w:rPr>
          <w:rFonts w:ascii="Arial" w:hAnsi="Arial" w:cs="Arial"/>
          <w:b/>
          <w:b/>
          <w:spacing w:val="4"/>
          <w:sz w:val="24"/>
          <w:szCs w:val="24"/>
        </w:rPr>
      </w:pPr>
      <w:r>
        <w:rPr>
          <w:rFonts w:cs="Arial" w:ascii="Arial" w:hAnsi="Arial"/>
          <w:b/>
          <w:spacing w:val="4"/>
          <w:sz w:val="24"/>
          <w:szCs w:val="24"/>
        </w:rPr>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right"/>
        <w:rPr>
          <w:rFonts w:ascii="Arial" w:hAnsi="Arial" w:cs="Arial"/>
          <w:spacing w:val="4"/>
          <w:u w:val="single"/>
        </w:rPr>
      </w:pPr>
      <w:r>
        <w:rPr>
          <w:rFonts w:cs="Arial" w:ascii="Arial" w:hAnsi="Arial"/>
          <w:spacing w:val="4"/>
          <w:u w:val="single"/>
        </w:rPr>
        <w:t>Page</w:t>
      </w:r>
    </w:p>
    <w:p>
      <w:pPr>
        <w:pStyle w:val="Normal"/>
        <w:spacing w:lineRule="auto" w:line="240"/>
        <w:jc w:val="left"/>
        <w:rPr>
          <w:rFonts w:ascii="Arial" w:hAnsi="Arial" w:cs="Arial"/>
          <w:spacing w:val="4"/>
          <w:u w:val="single"/>
        </w:rPr>
      </w:pPr>
      <w:r>
        <w:rPr>
          <w:rFonts w:cs="Arial" w:ascii="Arial" w:hAnsi="Arial"/>
          <w:spacing w:val="4"/>
          <w:u w:val="single"/>
        </w:rPr>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t>Introduction</w:t>
        <w:tab/>
        <w:t>1</w:t>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t>Organization of the Report</w:t>
        <w:tab/>
        <w:t>1</w:t>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Data Quality and Interpretation of Findings</w:t>
        <w:tab/>
        <w:t>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Data Collection and Verification</w:t>
        <w:tab/>
        <w:t>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Summary of Findings</w:t>
        <w:tab/>
        <w:t>2</w:t>
      </w:r>
    </w:p>
    <w:p>
      <w:pPr>
        <w:pStyle w:val="Normal"/>
        <w:tabs>
          <w:tab w:val="clear" w:pos="720"/>
          <w:tab w:val="decimal" w:pos="9360" w:leader="dot"/>
        </w:tabs>
        <w:spacing w:lineRule="auto" w:line="240"/>
        <w:ind w:left="720" w:hanging="0"/>
        <w:jc w:val="left"/>
        <w:rPr/>
      </w:pPr>
      <w:r>
        <w:rPr>
          <w:rFonts w:cs="Arial" w:ascii="Arial" w:hAnsi="Arial"/>
          <w:spacing w:val="4"/>
        </w:rPr>
        <w:t>Expulsions of Bringing a Firearm to School</w:t>
      </w:r>
      <w:r>
        <w:rPr>
          <w:spacing w:val="4"/>
        </w:rPr>
        <w:t>─</w:t>
      </w:r>
      <w:r>
        <w:rPr>
          <w:rFonts w:cs="Arial" w:ascii="Arial" w:hAnsi="Arial"/>
          <w:spacing w:val="4"/>
        </w:rPr>
        <w:t>Overview</w:t>
        <w:tab/>
        <w:t>3</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School Level</w:t>
        <w:tab/>
        <w:t>3</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Type of Firearm</w:t>
        <w:tab/>
        <w:t>4</w:t>
      </w:r>
    </w:p>
    <w:p>
      <w:pPr>
        <w:pStyle w:val="Normal"/>
        <w:tabs>
          <w:tab w:val="clear" w:pos="720"/>
          <w:tab w:val="decimal" w:pos="9360" w:leader="dot"/>
        </w:tabs>
        <w:spacing w:lineRule="auto" w:line="240"/>
        <w:ind w:left="720" w:hanging="0"/>
        <w:jc w:val="left"/>
        <w:rPr/>
      </w:pPr>
      <w:r>
        <w:rPr>
          <w:rFonts w:cs="Arial" w:ascii="Arial" w:hAnsi="Arial"/>
          <w:spacing w:val="4"/>
        </w:rPr>
        <w:t>Overall Year-to-Year Changes</w:t>
      </w:r>
      <w:r>
        <w:rPr>
          <w:spacing w:val="4"/>
        </w:rPr>
        <w:t>─</w:t>
      </w:r>
      <w:r>
        <w:rPr>
          <w:rFonts w:cs="Arial" w:ascii="Arial" w:hAnsi="Arial"/>
          <w:spacing w:val="4"/>
        </w:rPr>
        <w:t>2000-2001 to 2001-2002</w:t>
        <w:tab/>
        <w:t>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Shortened Expulsions and Students with Disabilities</w:t>
        <w:tab/>
        <w:t>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Referrals</w:t>
        <w:tab/>
        <w:t>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GFSA Report Submissions</w:t>
        <w:tab/>
        <w:t>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720"/>
        <w:jc w:val="left"/>
        <w:rPr>
          <w:rFonts w:ascii="Arial" w:hAnsi="Arial" w:cs="Arial"/>
          <w:spacing w:val="4"/>
        </w:rPr>
      </w:pPr>
      <w:r>
        <w:rPr>
          <w:rFonts w:cs="Arial" w:ascii="Arial" w:hAnsi="Arial"/>
          <w:spacing w:val="4"/>
        </w:rPr>
        <w:t>State Profiles</w:t>
      </w:r>
    </w:p>
    <w:p>
      <w:pPr>
        <w:pStyle w:val="Normal"/>
        <w:tabs>
          <w:tab w:val="clear" w:pos="720"/>
          <w:tab w:val="decimal" w:pos="9360" w:leader="dot"/>
        </w:tabs>
        <w:spacing w:lineRule="auto" w:line="240"/>
        <w:ind w:left="720" w:hanging="72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Alabama</w:t>
        <w:tab/>
        <w:t>16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Alaska</w:t>
        <w:tab/>
        <w:t>18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Arizona</w:t>
        <w:tab/>
        <w:t>20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Arkansas</w:t>
        <w:tab/>
        <w:t>22</w:t>
      </w:r>
    </w:p>
    <w:p>
      <w:pPr>
        <w:pStyle w:val="Normal"/>
        <w:tabs>
          <w:tab w:val="clear" w:pos="720"/>
          <w:tab w:val="decimal" w:pos="9360" w:leader="dot"/>
        </w:tabs>
        <w:spacing w:lineRule="auto" w:line="240"/>
        <w:ind w:left="720" w:hanging="0"/>
        <w:jc w:val="left"/>
        <w:rPr/>
      </w:pPr>
      <w:r>
        <w:rPr>
          <w:rFonts w:cs="Arial" w:ascii="Arial" w:hAnsi="Arial"/>
          <w:spacing w:val="4"/>
        </w:rPr>
        <w:t>California</w:t>
        <w:tab/>
        <w:t>24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Colorado</w:t>
        <w:tab/>
        <w:t>26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Connecticut</w:t>
        <w:tab/>
        <w:t>28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Delaware</w:t>
        <w:tab/>
        <w:t>30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District of Columbia</w:t>
        <w:tab/>
        <w:t>32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Florida</w:t>
        <w:tab/>
        <w:t>34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Georgia</w:t>
        <w:tab/>
        <w:t>36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Hawaii</w:t>
        <w:tab/>
        <w:t>38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Idaho</w:t>
        <w:tab/>
        <w:t>40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Illinois</w:t>
        <w:tab/>
        <w:t>42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Indiana</w:t>
        <w:tab/>
        <w:t>44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Iowa</w:t>
        <w:tab/>
        <w:t>46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Kansas</w:t>
        <w:tab/>
        <w:t>48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Kentucky</w:t>
        <w:tab/>
        <w:t>50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Louisiana</w:t>
        <w:tab/>
        <w:t>52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Maine</w:t>
        <w:tab/>
        <w:t>54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Maryland</w:t>
        <w:tab/>
        <w:t>56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Massachusetts</w:t>
        <w:tab/>
        <w:t>58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Michigan</w:t>
        <w:tab/>
        <w:t>60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Minnesota</w:t>
        <w:tab/>
        <w:t>62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Mississippi</w:t>
        <w:tab/>
        <w:t>64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Missouri</w:t>
        <w:tab/>
        <w:t>66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Montana</w:t>
        <w:tab/>
        <w:t>68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Nebraska</w:t>
        <w:tab/>
        <w:t>70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Nevada</w:t>
        <w:tab/>
        <w:t>72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New Hampshire</w:t>
        <w:tab/>
        <w:t>74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New Jersey</w:t>
        <w:tab/>
        <w:t>76</w:t>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b/>
          <w:b/>
          <w:spacing w:val="4"/>
          <w:sz w:val="24"/>
          <w:szCs w:val="24"/>
        </w:rPr>
      </w:pPr>
      <w:r>
        <w:rPr>
          <w:rFonts w:cs="Arial" w:ascii="Arial" w:hAnsi="Arial"/>
          <w:b/>
          <w:spacing w:val="4"/>
          <w:sz w:val="24"/>
          <w:szCs w:val="24"/>
        </w:rPr>
        <w:t>Contents (continued)</w:t>
      </w:r>
    </w:p>
    <w:p>
      <w:pPr>
        <w:pStyle w:val="Normal"/>
        <w:spacing w:lineRule="auto" w:line="240"/>
        <w:jc w:val="left"/>
        <w:rPr>
          <w:rFonts w:ascii="Arial" w:hAnsi="Arial" w:cs="Arial"/>
          <w:b/>
          <w:b/>
          <w:spacing w:val="4"/>
          <w:sz w:val="24"/>
          <w:szCs w:val="24"/>
        </w:rPr>
      </w:pPr>
      <w:r>
        <w:rPr>
          <w:rFonts w:cs="Arial" w:ascii="Arial" w:hAnsi="Arial"/>
          <w:b/>
          <w:spacing w:val="4"/>
          <w:sz w:val="24"/>
          <w:szCs w:val="24"/>
        </w:rPr>
      </w:r>
    </w:p>
    <w:p>
      <w:p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right"/>
        <w:rPr>
          <w:rFonts w:ascii="Arial" w:hAnsi="Arial" w:cs="Arial"/>
          <w:spacing w:val="4"/>
          <w:u w:val="single"/>
        </w:rPr>
      </w:pPr>
      <w:r>
        <w:rPr>
          <w:rFonts w:cs="Arial" w:ascii="Arial" w:hAnsi="Arial"/>
          <w:spacing w:val="4"/>
          <w:u w:val="single"/>
        </w:rPr>
        <w:t>Page</w:t>
      </w:r>
    </w:p>
    <w:p>
      <w:pPr>
        <w:pStyle w:val="Normal"/>
        <w:spacing w:lineRule="auto" w:line="240"/>
        <w:jc w:val="left"/>
        <w:rPr>
          <w:rFonts w:ascii="Arial" w:hAnsi="Arial" w:cs="Arial"/>
          <w:spacing w:val="4"/>
          <w:u w:val="single"/>
        </w:rPr>
      </w:pPr>
      <w:r>
        <w:rPr>
          <w:rFonts w:cs="Arial" w:ascii="Arial" w:hAnsi="Arial"/>
          <w:spacing w:val="4"/>
          <w:u w:val="single"/>
        </w:rPr>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New Mexico</w:t>
        <w:tab/>
        <w:t>78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New York</w:t>
        <w:tab/>
        <w:t>80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North Carolina</w:t>
        <w:tab/>
        <w:t>82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North Dakota</w:t>
        <w:tab/>
        <w:t>84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Ohio</w:t>
        <w:tab/>
        <w:t>86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Oklahoma</w:t>
        <w:tab/>
        <w:t>88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Oregon</w:t>
        <w:tab/>
        <w:t>90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Pennsylvania</w:t>
        <w:tab/>
        <w:t>92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Puerto Rico</w:t>
        <w:tab/>
        <w:t>94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Rhode Island</w:t>
        <w:tab/>
        <w:t>96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South Carolina</w:t>
        <w:tab/>
        <w:t>98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South Dakota</w:t>
        <w:tab/>
        <w:t>100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Tennessee</w:t>
        <w:tab/>
        <w:t>102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Texas</w:t>
        <w:tab/>
        <w:t>104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Utah</w:t>
        <w:tab/>
        <w:t>106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Vermont</w:t>
        <w:tab/>
        <w:t>108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Virginia</w:t>
        <w:tab/>
        <w:t>110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Washington</w:t>
        <w:tab/>
        <w:t>112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West Virginia</w:t>
        <w:tab/>
        <w:t>114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Wisconsin</w:t>
        <w:tab/>
        <w:t>116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Wyoming</w:t>
        <w:tab/>
        <w:t>118</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American Samoa</w:t>
        <w:tab/>
        <w:t>120</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Guam</w:t>
        <w:tab/>
        <w:t>122</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Northern Marianas</w:t>
        <w:tab/>
        <w:t>124</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t>Virgin Islands</w:t>
        <w:tab/>
        <w:t>126</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720"/>
        <w:jc w:val="left"/>
        <w:rPr>
          <w:rFonts w:ascii="Arial" w:hAnsi="Arial" w:cs="Arial"/>
          <w:spacing w:val="4"/>
        </w:rPr>
      </w:pPr>
      <w:r>
        <w:rPr>
          <w:rFonts w:cs="Arial" w:ascii="Arial" w:hAnsi="Arial"/>
          <w:spacing w:val="4"/>
        </w:rPr>
        <w:t>Appendix A</w:t>
      </w:r>
    </w:p>
    <w:p>
      <w:pPr>
        <w:pStyle w:val="Normal"/>
        <w:tabs>
          <w:tab w:val="clear" w:pos="720"/>
          <w:tab w:val="decimal" w:pos="9360" w:leader="dot"/>
        </w:tabs>
        <w:spacing w:lineRule="auto" w:line="240"/>
        <w:ind w:left="720" w:hanging="72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720"/>
        <w:jc w:val="left"/>
        <w:rPr>
          <w:rFonts w:ascii="Arial" w:hAnsi="Arial" w:cs="Arial"/>
          <w:spacing w:val="4"/>
        </w:rPr>
      </w:pPr>
      <w:r>
        <w:rPr>
          <w:rFonts w:cs="Arial" w:ascii="Arial" w:hAnsi="Arial"/>
          <w:spacing w:val="4"/>
        </w:rPr>
        <w:t>Appendix B</w:t>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ind w:left="720" w:hanging="0"/>
        <w:jc w:val="left"/>
        <w:rPr>
          <w:rFonts w:ascii="Arial" w:hAnsi="Arial" w:cs="Arial"/>
          <w:spacing w:val="4"/>
        </w:rPr>
      </w:pPr>
      <w:r>
        <w:rPr>
          <w:rFonts w:cs="Arial" w:ascii="Arial" w:hAnsi="Arial"/>
          <w:spacing w:val="4"/>
        </w:rPr>
      </w:r>
      <w:r>
        <w:br w:type="page"/>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jc w:val="center"/>
        <w:rPr>
          <w:rFonts w:ascii="Arial" w:hAnsi="Arial" w:cs="Arial"/>
          <w:b/>
          <w:b/>
          <w:spacing w:val="4"/>
          <w:sz w:val="24"/>
          <w:szCs w:val="24"/>
        </w:rPr>
      </w:pPr>
      <w:r>
        <w:rPr>
          <w:rFonts w:cs="Arial" w:ascii="Arial" w:hAnsi="Arial"/>
          <w:b/>
          <w:spacing w:val="4"/>
          <w:sz w:val="24"/>
          <w:szCs w:val="24"/>
        </w:rPr>
        <w:t>List of Figures</w:t>
      </w:r>
    </w:p>
    <w:p>
      <w:pPr>
        <w:pStyle w:val="Normal"/>
        <w:tabs>
          <w:tab w:val="clear" w:pos="720"/>
          <w:tab w:val="decimal" w:pos="9360" w:leader="dot"/>
        </w:tabs>
        <w:spacing w:lineRule="auto" w:line="240"/>
        <w:jc w:val="left"/>
        <w:rPr>
          <w:rFonts w:ascii="Arial" w:hAnsi="Arial" w:cs="Arial"/>
          <w:b/>
          <w:b/>
          <w:spacing w:val="4"/>
          <w:sz w:val="24"/>
          <w:szCs w:val="24"/>
        </w:rPr>
      </w:pPr>
      <w:r>
        <w:rPr>
          <w:rFonts w:cs="Arial" w:ascii="Arial" w:hAnsi="Arial"/>
          <w:b/>
          <w:spacing w:val="4"/>
          <w:sz w:val="24"/>
          <w:szCs w:val="24"/>
        </w:rPr>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jc w:val="right"/>
        <w:rPr>
          <w:rFonts w:ascii="Arial" w:hAnsi="Arial" w:cs="Arial"/>
          <w:spacing w:val="4"/>
          <w:u w:val="single"/>
        </w:rPr>
      </w:pPr>
      <w:r>
        <w:rPr>
          <w:rFonts w:cs="Arial" w:ascii="Arial" w:hAnsi="Arial"/>
          <w:spacing w:val="4"/>
          <w:u w:val="single"/>
        </w:rPr>
        <w:t>Page</w:t>
      </w:r>
    </w:p>
    <w:p>
      <w:pPr>
        <w:pStyle w:val="Normal"/>
        <w:tabs>
          <w:tab w:val="clear" w:pos="720"/>
          <w:tab w:val="decimal" w:pos="9360" w:leader="dot"/>
        </w:tabs>
        <w:spacing w:lineRule="auto" w:line="240"/>
        <w:jc w:val="left"/>
        <w:rPr>
          <w:rFonts w:ascii="Arial" w:hAnsi="Arial" w:cs="Arial"/>
          <w:spacing w:val="4"/>
          <w:u w:val="single"/>
        </w:rPr>
      </w:pPr>
      <w:r>
        <w:rPr>
          <w:rFonts w:cs="Arial" w:ascii="Arial" w:hAnsi="Arial"/>
          <w:spacing w:val="4"/>
          <w:u w:val="single"/>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1</w:t>
        <w:tab/>
        <w:t xml:space="preserve">Number of students found to have brought a firearm to school, </w:t>
        <w:br/>
        <w:t xml:space="preserve">2001-2002 and GFSA violations per 1,000 students of public elementary </w:t>
        <w:br/>
        <w:t>and secondary enrollment, Fall 2001</w:t>
        <w:tab/>
        <w:t>7</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2</w:t>
        <w:tab/>
        <w:t>Number of students found to have brought a firearm to school, by school</w:t>
        <w:br/>
        <w:t>level, 2001-2002</w:t>
        <w:tab/>
        <w:t>8</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3</w:t>
        <w:tab/>
        <w:t>Number of students found to have brought a firearm to school, by type of</w:t>
        <w:br/>
        <w:t>firearm, 2001-2002</w:t>
        <w:tab/>
        <w:t>9</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4</w:t>
        <w:tab/>
        <w:t>Total number of students found to have brought a firearm to school, by</w:t>
        <w:br/>
        <w:t>state, 2000-2001 and 2001-2002</w:t>
        <w:tab/>
        <w:t>10</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5</w:t>
        <w:tab/>
        <w:t>Number and percent of students found to have brought a firearm to school</w:t>
        <w:br/>
        <w:t>for which the 1-year expulsion was shortened on a case-by-case basis,</w:t>
        <w:br/>
        <w:t>2001-2002</w:t>
        <w:tab/>
        <w:t>11</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6</w:t>
        <w:tab/>
        <w:t>Number and percent of shortened expulsions that were for nondisabled</w:t>
        <w:br/>
        <w:t>students found to have brought a firearm to school, 2001-2002</w:t>
        <w:tab/>
        <w:t>12</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7</w:t>
        <w:tab/>
        <w:t>Number and percent of students found to have brought a firearm to school</w:t>
        <w:br/>
        <w:t>that were referred to an alternative placement, by state, 2001-2002</w:t>
        <w:tab/>
        <w:t>13</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8</w:t>
        <w:tab/>
        <w:t>Percent of LEAs that submitted a GFSA report to the state and percentage</w:t>
        <w:br/>
        <w:t>of LEAs reporting offenses, by state, 2001-2002</w:t>
        <w:tab/>
        <w:t>14</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Table 9</w:t>
        <w:tab/>
        <w:t xml:space="preserve">Total number of students found to have brought a firearm to school, </w:t>
        <w:br/>
        <w:t>1996-1997 through 2001-2002</w:t>
        <w:tab/>
        <w:t>15</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r>
        <w:br w:type="page"/>
      </w:r>
    </w:p>
    <w:p>
      <w:pPr>
        <w:pStyle w:val="Normal"/>
        <w:tabs>
          <w:tab w:val="clear" w:pos="720"/>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decimal" w:pos="9360" w:leader="dot"/>
        </w:tabs>
        <w:spacing w:lineRule="auto" w:line="240"/>
        <w:jc w:val="center"/>
        <w:rPr>
          <w:rFonts w:ascii="Arial" w:hAnsi="Arial" w:cs="Arial"/>
          <w:b/>
          <w:b/>
          <w:spacing w:val="4"/>
          <w:sz w:val="24"/>
          <w:szCs w:val="24"/>
        </w:rPr>
      </w:pPr>
      <w:r>
        <w:rPr>
          <w:rFonts w:cs="Arial" w:ascii="Arial" w:hAnsi="Arial"/>
          <w:b/>
          <w:spacing w:val="4"/>
          <w:sz w:val="24"/>
          <w:szCs w:val="24"/>
        </w:rPr>
        <w:t>List of Figures</w:t>
      </w:r>
    </w:p>
    <w:p>
      <w:pPr>
        <w:pStyle w:val="Normal"/>
        <w:tabs>
          <w:tab w:val="clear" w:pos="720"/>
          <w:tab w:val="decimal" w:pos="9360" w:leader="dot"/>
        </w:tabs>
        <w:spacing w:lineRule="auto" w:line="240"/>
        <w:jc w:val="left"/>
        <w:rPr>
          <w:rFonts w:ascii="Arial" w:hAnsi="Arial" w:cs="Arial"/>
          <w:b/>
          <w:b/>
          <w:spacing w:val="4"/>
          <w:sz w:val="24"/>
          <w:szCs w:val="24"/>
        </w:rPr>
      </w:pPr>
      <w:r>
        <w:rPr>
          <w:rFonts w:cs="Arial" w:ascii="Arial" w:hAnsi="Arial"/>
          <w:b/>
          <w:spacing w:val="4"/>
          <w:sz w:val="24"/>
          <w:szCs w:val="24"/>
        </w:rPr>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jc w:val="right"/>
        <w:rPr>
          <w:rFonts w:ascii="Arial" w:hAnsi="Arial" w:cs="Arial"/>
          <w:spacing w:val="4"/>
          <w:u w:val="single"/>
        </w:rPr>
      </w:pPr>
      <w:r>
        <w:rPr>
          <w:rFonts w:cs="Arial" w:ascii="Arial" w:hAnsi="Arial"/>
          <w:spacing w:val="4"/>
          <w:u w:val="single"/>
        </w:rPr>
        <w:t>Page</w:t>
      </w:r>
    </w:p>
    <w:p>
      <w:pPr>
        <w:pStyle w:val="Normal"/>
        <w:tabs>
          <w:tab w:val="clear" w:pos="720"/>
          <w:tab w:val="left" w:pos="1440" w:leader="none"/>
          <w:tab w:val="decimal" w:pos="9360" w:leader="dot"/>
        </w:tabs>
        <w:spacing w:lineRule="auto" w:line="240"/>
        <w:jc w:val="left"/>
        <w:rPr>
          <w:rFonts w:ascii="Arial" w:hAnsi="Arial" w:cs="Arial"/>
          <w:spacing w:val="4"/>
          <w:u w:val="single"/>
        </w:rPr>
      </w:pPr>
      <w:r>
        <w:rPr>
          <w:rFonts w:cs="Arial" w:ascii="Arial" w:hAnsi="Arial"/>
          <w:spacing w:val="4"/>
          <w:u w:val="single"/>
        </w:rPr>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t>Figure 1</w:t>
        <w:tab/>
        <w:t>Number and percent of students expelled, by school level, 2001-2002</w:t>
        <w:tab/>
        <w:t>3</w:t>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t>Figure 2</w:t>
        <w:tab/>
        <w:t>Number and percent of students expelled, by type of firearm, 2001-2002</w:t>
        <w:tab/>
        <w:t>4</w:t>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3</w:t>
        <w:tab/>
        <w:t xml:space="preserve">Number and percent of expulsions shortened on a case-by-case basis, </w:t>
        <w:br/>
        <w:t>2001-2002</w:t>
        <w:tab/>
        <w:t>5</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4</w:t>
        <w:tab/>
        <w:t>Number and percent of expulsions shortened on a case-by-case basis,</w:t>
        <w:br/>
        <w:t>1997-1998 through 2001-2002</w:t>
        <w:tab/>
        <w:t>5</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5</w:t>
        <w:tab/>
        <w:t>Number and percent of expulsions shortened on a case-by-case basis for students with and without disabilities, 2001-2002</w:t>
        <w:tab/>
        <w:t>5</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6</w:t>
        <w:tab/>
        <w:t>Number and percent of expulsions shortened on a case-by-case basis for students with and without disabilities, 1997-1998 through 2001-2002</w:t>
        <w:tab/>
        <w:t>5</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7</w:t>
        <w:tab/>
        <w:t xml:space="preserve">Number and percent of expulsions referred to an alternative placement, </w:t>
        <w:br/>
        <w:t>2001-2002</w:t>
        <w:tab/>
        <w:t>6</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t>Figure 8</w:t>
        <w:tab/>
        <w:t xml:space="preserve">Number and percent of expulsions referred to an alternative placement, </w:t>
        <w:br/>
        <w:t>1997-1998 through 2001-2002</w:t>
        <w:tab/>
        <w:t>6</w:t>
      </w:r>
    </w:p>
    <w:p>
      <w:pPr>
        <w:pStyle w:val="Normal"/>
        <w:tabs>
          <w:tab w:val="clear" w:pos="720"/>
          <w:tab w:val="left" w:pos="1440" w:leader="none"/>
          <w:tab w:val="decimal" w:pos="9360" w:leader="dot"/>
        </w:tabs>
        <w:spacing w:lineRule="auto" w:line="240"/>
        <w:ind w:left="1440" w:hanging="1440"/>
        <w:jc w:val="left"/>
        <w:rPr>
          <w:rFonts w:ascii="Arial" w:hAnsi="Arial" w:cs="Arial"/>
          <w:spacing w:val="4"/>
        </w:rPr>
      </w:pPr>
      <w:r>
        <w:rPr>
          <w:rFonts w:cs="Arial" w:ascii="Arial" w:hAnsi="Arial"/>
          <w:spacing w:val="4"/>
        </w:rPr>
      </w:r>
    </w:p>
    <w:p>
      <w:pPr>
        <w:pStyle w:val="Normal"/>
        <w:tabs>
          <w:tab w:val="clear" w:pos="720"/>
          <w:tab w:val="left" w:pos="1440" w:leader="none"/>
          <w:tab w:val="decimal" w:pos="9360" w:leader="dot"/>
        </w:tabs>
        <w:spacing w:lineRule="auto" w:line="240"/>
        <w:jc w:val="left"/>
        <w:rPr>
          <w:rFonts w:ascii="Arial" w:hAnsi="Arial" w:cs="Arial"/>
          <w:spacing w:val="4"/>
        </w:rPr>
      </w:pPr>
      <w:r>
        <w:rPr>
          <w:rFonts w:cs="Arial" w:ascii="Arial" w:hAnsi="Arial"/>
          <w:spacing w:val="4"/>
        </w:rPr>
      </w:r>
    </w:p>
    <w:p>
      <w:pPr>
        <w:sectPr>
          <w:footerReference w:type="default" r:id="rId4"/>
          <w:type w:val="nextPage"/>
          <w:pgSz w:w="12240" w:h="15840"/>
          <w:pgMar w:left="1440" w:right="1440" w:header="0" w:top="864" w:footer="576" w:bottom="1152" w:gutter="0"/>
          <w:pgNumType w:start="2" w:fmt="lowerRoman"/>
          <w:formProt w:val="false"/>
          <w:textDirection w:val="lrTb"/>
          <w:docGrid w:type="default" w:linePitch="360" w:charSpace="0"/>
        </w:sectPr>
        <w:pStyle w:val="Normal"/>
        <w:spacing w:lineRule="auto" w:line="240"/>
        <w:jc w:val="left"/>
        <w:rPr>
          <w:rFonts w:ascii="Arial" w:hAnsi="Arial" w:cs="Arial"/>
          <w:spacing w:val="4"/>
        </w:rPr>
      </w:pPr>
      <w:r>
        <w:rPr>
          <w:rFonts w:cs="Arial" w:ascii="Arial" w:hAnsi="Arial"/>
          <w:spacing w:val="4"/>
        </w:rPr>
      </w:r>
    </w:p>
    <w:p>
      <w:pPr>
        <w:pStyle w:val="Normal"/>
        <w:spacing w:lineRule="auto" w:line="240"/>
        <w:jc w:val="left"/>
        <w:rPr>
          <w:rFonts w:ascii="Arial" w:hAnsi="Arial" w:cs="Arial"/>
          <w:spacing w:val="4"/>
        </w:rPr>
      </w:pPr>
      <w:r>
        <w:rPr>
          <w:rFonts w:cs="Arial" w:ascii="Arial" w:hAnsi="Arial"/>
          <w:spacing w:val="4"/>
        </w:rPr>
      </w:r>
    </w:p>
    <w:p>
      <w:pPr>
        <w:pStyle w:val="Normal"/>
        <w:jc w:val="center"/>
        <w:rPr>
          <w:rFonts w:ascii="Arial" w:hAnsi="Arial" w:cs="Arial"/>
          <w:b/>
          <w:b/>
          <w:sz w:val="32"/>
        </w:rPr>
      </w:pPr>
      <w:r>
        <w:rPr>
          <w:rFonts w:cs="Arial" w:ascii="Arial" w:hAnsi="Arial"/>
          <w:b/>
          <w:sz w:val="32"/>
        </w:rPr>
        <w:t xml:space="preserve">Report on the Implementation of the </w:t>
        <w:br/>
        <w:t xml:space="preserve">Gun-Free Schools Act in the States and Outlying Areas- </w:t>
      </w:r>
    </w:p>
    <w:p>
      <w:pPr>
        <w:pStyle w:val="Normal"/>
        <w:jc w:val="center"/>
        <w:rPr>
          <w:rFonts w:ascii="Arial" w:hAnsi="Arial" w:cs="Arial"/>
          <w:spacing w:val="-2"/>
        </w:rPr>
      </w:pPr>
      <w:r>
        <w:rPr>
          <w:rFonts w:cs="Arial" w:ascii="Arial" w:hAnsi="Arial"/>
          <w:b/>
          <w:sz w:val="32"/>
        </w:rPr>
        <w:t>School Year 2001-2002</w:t>
      </w:r>
    </w:p>
    <w:p>
      <w:pPr>
        <w:pStyle w:val="Normal"/>
        <w:spacing w:lineRule="auto" w:line="240"/>
        <w:jc w:val="left"/>
        <w:rPr>
          <w:rFonts w:ascii="Arial" w:hAnsi="Arial" w:cs="Arial"/>
          <w:b/>
          <w:b/>
          <w:spacing w:val="2"/>
        </w:rPr>
      </w:pPr>
      <w:r>
        <w:rPr>
          <w:rFonts w:cs="Arial" w:ascii="Arial" w:hAnsi="Arial"/>
          <w:b/>
          <w:spacing w:val="2"/>
        </w:rPr>
      </w:r>
    </w:p>
    <w:p>
      <w:pPr>
        <w:pStyle w:val="Normal"/>
        <w:spacing w:lineRule="auto" w:line="240"/>
        <w:jc w:val="left"/>
        <w:rPr>
          <w:rFonts w:ascii="Arial" w:hAnsi="Arial" w:cs="Arial"/>
          <w:b/>
          <w:b/>
          <w:spacing w:val="2"/>
        </w:rPr>
      </w:pPr>
      <w:r>
        <w:rPr>
          <w:rFonts w:cs="Arial" w:ascii="Arial" w:hAnsi="Arial"/>
          <w:b/>
          <w:spacing w:val="2"/>
        </w:rPr>
        <w:t>Introduction</w:t>
      </w:r>
    </w:p>
    <w:p>
      <w:pPr>
        <w:pStyle w:val="Normal"/>
        <w:spacing w:lineRule="atLeast" w:line="252"/>
        <w:jc w:val="left"/>
        <w:rPr>
          <w:rFonts w:ascii="Arial" w:hAnsi="Arial" w:cs="Arial"/>
          <w:b/>
          <w:b/>
          <w:spacing w:val="2"/>
        </w:rPr>
      </w:pPr>
      <w:r>
        <w:rPr>
          <w:rFonts w:cs="Arial" w:ascii="Arial" w:hAnsi="Arial"/>
          <w:b/>
          <w:spacing w:val="2"/>
        </w:rPr>
      </w:r>
    </w:p>
    <w:p>
      <w:pPr>
        <w:pStyle w:val="Normal"/>
        <w:spacing w:lineRule="atLeast" w:line="252"/>
        <w:jc w:val="left"/>
        <w:rPr/>
      </w:pPr>
      <w:r>
        <w:rPr/>
        <w:t>T</w:t>
      </w:r>
      <w:r>
        <w:rPr>
          <w:rFonts w:cs="Arial" w:ascii="Arial" w:hAnsi="Arial"/>
          <w:spacing w:val="2"/>
        </w:rPr>
        <w:t>he Gun-Free Schools Act (GFSA) requires that each state</w:t>
      </w:r>
      <w:r>
        <w:rPr>
          <w:rStyle w:val="FootnoteCharacters"/>
          <w:rStyle w:val="FootnoteAnchor"/>
          <w:rFonts w:cs="Arial" w:ascii="Arial" w:hAnsi="Arial"/>
          <w:spacing w:val="2"/>
        </w:rPr>
        <w:footnoteReference w:id="2"/>
      </w:r>
      <w:r>
        <w:rPr>
          <w:rFonts w:cs="Arial" w:ascii="Arial" w:hAnsi="Arial"/>
          <w:spacing w:val="2"/>
        </w:rPr>
        <w:t xml:space="preserve"> or outlying area</w:t>
      </w:r>
      <w:r>
        <w:rPr>
          <w:rStyle w:val="FootnoteCharacters"/>
          <w:rStyle w:val="FootnoteAnchor"/>
          <w:rFonts w:cs="Arial" w:ascii="Arial" w:hAnsi="Arial"/>
        </w:rPr>
        <w:footnoteReference w:id="3"/>
      </w:r>
      <w:r>
        <w:rPr>
          <w:rFonts w:cs="Arial" w:ascii="Arial" w:hAnsi="Arial"/>
          <w:spacing w:val="2"/>
        </w:rPr>
        <w:t xml:space="preserve"> receiving federal funds under the Elementary and Secondary Education Act (ESEA) have a law that requires all local educational agencies (LEAs) in the state or outlying area to expel from school for at least one year any student found bringing a firearm to school. (See Appendix A for a copy of the GFSA.) Their laws must also authorize </w:t>
      </w:r>
      <w:r>
        <w:rPr>
          <w:rFonts w:cs="Arial" w:ascii="Arial" w:hAnsi="Arial"/>
          <w:spacing w:val="4"/>
        </w:rPr>
        <w:t xml:space="preserve">the </w:t>
      </w:r>
      <w:r>
        <w:rPr>
          <w:rFonts w:cs="Arial" w:ascii="Arial" w:hAnsi="Arial"/>
          <w:spacing w:val="2"/>
        </w:rPr>
        <w:t>LEA chief administering officer to modify any such expulsion on a case-by-case basis. In addition, the GFSA states that it must be construed so as to be consistent with the Individuals with Disabilities Education Act (IDEA).</w:t>
      </w:r>
    </w:p>
    <w:p>
      <w:pPr>
        <w:pStyle w:val="Normal"/>
        <w:spacing w:lineRule="atLeast" w:line="252"/>
        <w:jc w:val="left"/>
        <w:rPr>
          <w:rFonts w:ascii="Arial" w:hAnsi="Arial" w:cs="Arial"/>
          <w:spacing w:val="2"/>
        </w:rPr>
      </w:pPr>
      <w:r>
        <w:rPr>
          <w:rFonts w:cs="Arial" w:ascii="Arial" w:hAnsi="Arial"/>
          <w:spacing w:val="2"/>
        </w:rPr>
      </w:r>
    </w:p>
    <w:p>
      <w:pPr>
        <w:pStyle w:val="Normal"/>
        <w:spacing w:lineRule="exact" w:line="252"/>
        <w:jc w:val="left"/>
        <w:rPr>
          <w:rFonts w:ascii="Arial" w:hAnsi="Arial" w:cs="Arial"/>
          <w:spacing w:val="2"/>
        </w:rPr>
      </w:pPr>
      <w:r>
        <w:rPr>
          <w:rFonts w:cs="Arial" w:ascii="Arial" w:hAnsi="Arial"/>
          <w:spacing w:val="2"/>
        </w:rPr>
        <w:t>The GFSA requires states and outlying areas to report information about the implementation of the GFSA annually to the secretary of education. In order to meet this requirement and to monitor compliance with the GFSA, the U.S. Department of Education (the Department) requires each state or outlying area to submit an annual report that provides:</w:t>
      </w:r>
    </w:p>
    <w:p>
      <w:pPr>
        <w:pStyle w:val="Normal"/>
        <w:spacing w:lineRule="exact" w:line="252"/>
        <w:jc w:val="left"/>
        <w:rPr>
          <w:rFonts w:ascii="Arial" w:hAnsi="Arial" w:cs="Arial"/>
          <w:spacing w:val="2"/>
        </w:rPr>
      </w:pPr>
      <w:r>
        <w:rPr>
          <w:rFonts w:cs="Arial" w:ascii="Arial" w:hAnsi="Arial"/>
          <w:spacing w:val="2"/>
        </w:rPr>
      </w:r>
    </w:p>
    <w:p>
      <w:pPr>
        <w:pStyle w:val="Normal"/>
        <w:numPr>
          <w:ilvl w:val="0"/>
          <w:numId w:val="2"/>
        </w:numPr>
        <w:tabs>
          <w:tab w:val="clear" w:pos="720"/>
          <w:tab w:val="left" w:pos="864" w:leader="none"/>
        </w:tabs>
        <w:ind w:left="864" w:hanging="432"/>
        <w:jc w:val="left"/>
        <w:rPr>
          <w:rFonts w:ascii="Arial" w:hAnsi="Arial" w:cs="Arial"/>
          <w:spacing w:val="2"/>
        </w:rPr>
      </w:pPr>
      <w:r>
        <w:rPr>
          <w:rFonts w:cs="Arial" w:ascii="Arial" w:hAnsi="Arial"/>
          <w:spacing w:val="2"/>
        </w:rPr>
        <w:t>The number of students expelled (by type of firearm and school level).</w:t>
      </w:r>
    </w:p>
    <w:p>
      <w:pPr>
        <w:pStyle w:val="Normal"/>
        <w:numPr>
          <w:ilvl w:val="0"/>
          <w:numId w:val="2"/>
        </w:numPr>
        <w:tabs>
          <w:tab w:val="clear" w:pos="720"/>
          <w:tab w:val="left" w:pos="864" w:leader="none"/>
        </w:tabs>
        <w:ind w:left="864" w:hanging="432"/>
        <w:jc w:val="left"/>
        <w:rPr>
          <w:rFonts w:ascii="Arial" w:hAnsi="Arial" w:cs="Arial"/>
          <w:spacing w:val="2"/>
        </w:rPr>
      </w:pPr>
      <w:r>
        <w:rPr>
          <w:rFonts w:cs="Arial" w:ascii="Arial" w:hAnsi="Arial"/>
          <w:spacing w:val="2"/>
        </w:rPr>
        <w:t>The number of expulsions that were modified on a case-by-case basis.</w:t>
      </w:r>
    </w:p>
    <w:p>
      <w:pPr>
        <w:pStyle w:val="Normal"/>
        <w:numPr>
          <w:ilvl w:val="0"/>
          <w:numId w:val="2"/>
        </w:numPr>
        <w:tabs>
          <w:tab w:val="clear" w:pos="720"/>
          <w:tab w:val="left" w:pos="864" w:leader="none"/>
        </w:tabs>
        <w:ind w:left="864" w:hanging="432"/>
        <w:jc w:val="left"/>
        <w:rPr/>
      </w:pPr>
      <w:r>
        <w:rPr>
          <w:rFonts w:cs="Arial" w:ascii="Arial" w:hAnsi="Arial"/>
          <w:spacing w:val="2"/>
        </w:rPr>
        <w:t xml:space="preserve">The number of modified cases that were </w:t>
      </w:r>
      <w:r>
        <w:rPr>
          <w:rFonts w:cs="Arial" w:ascii="Arial" w:hAnsi="Arial"/>
          <w:i/>
          <w:spacing w:val="2"/>
        </w:rPr>
        <w:t>not</w:t>
      </w:r>
      <w:r>
        <w:rPr>
          <w:rFonts w:cs="Arial" w:ascii="Arial" w:hAnsi="Arial"/>
          <w:spacing w:val="2"/>
        </w:rPr>
        <w:t xml:space="preserve"> for students with disabilities.</w:t>
      </w:r>
    </w:p>
    <w:p>
      <w:pPr>
        <w:pStyle w:val="Normal"/>
        <w:numPr>
          <w:ilvl w:val="0"/>
          <w:numId w:val="2"/>
        </w:numPr>
        <w:tabs>
          <w:tab w:val="clear" w:pos="720"/>
          <w:tab w:val="left" w:pos="864" w:leader="none"/>
        </w:tabs>
        <w:ind w:left="864" w:hanging="432"/>
        <w:jc w:val="left"/>
        <w:rPr>
          <w:rFonts w:ascii="Arial" w:hAnsi="Arial" w:cs="Arial"/>
          <w:spacing w:val="2"/>
        </w:rPr>
      </w:pPr>
      <w:r>
        <w:rPr>
          <w:rFonts w:cs="Arial" w:ascii="Arial" w:hAnsi="Arial"/>
          <w:spacing w:val="2"/>
        </w:rPr>
        <w:t>The number of expelled students who were referred to an alternative school or program.</w:t>
      </w:r>
    </w:p>
    <w:p>
      <w:pPr>
        <w:pStyle w:val="Normal"/>
        <w:spacing w:lineRule="exact"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b/>
          <w:spacing w:val="2"/>
        </w:rPr>
        <w:t>Organization of the Report</w:t>
      </w:r>
    </w:p>
    <w:p>
      <w:pPr>
        <w:pStyle w:val="Normal"/>
        <w:spacing w:lineRule="auto" w:line="240"/>
        <w:jc w:val="left"/>
        <w:rPr>
          <w:rFonts w:ascii="Arial" w:hAnsi="Arial" w:cs="Arial"/>
          <w:spacing w:val="2"/>
        </w:rPr>
      </w:pPr>
      <w:r>
        <w:rPr>
          <w:rFonts w:cs="Arial" w:ascii="Arial" w:hAnsi="Arial"/>
          <w:spacing w:val="2"/>
        </w:rPr>
      </w:r>
    </w:p>
    <w:p>
      <w:pPr>
        <w:pStyle w:val="Normal"/>
        <w:spacing w:lineRule="atLeast" w:line="252"/>
        <w:jc w:val="left"/>
        <w:rPr/>
      </w:pPr>
      <w:r>
        <w:rPr/>
        <w:t>F</w:t>
      </w:r>
      <w:r>
        <w:rPr>
          <w:rFonts w:cs="Arial" w:ascii="Arial" w:hAnsi="Arial"/>
          <w:spacing w:val="2"/>
        </w:rPr>
        <w:t xml:space="preserve">ollowing information on data interpretation and quality, this report is divided into three sections and summarizes the 2001-2002 data submitted by the states and outlying areas. The first section is a brief summary of the overall findings. The second section presents a summary of the 2001-2002 data in bulleted, graphic, and tabular form as well as a comparison between the 2001-2002 data and data submitted in previous years. The third section presents a pair of pages for each state and outlying area. Each of these pages contains the data submitted by the state and outlying area, as well as any caveats or notes accompanying the data. Finally, there are two appendices to the report:  Appendix A contains a </w:t>
      </w:r>
      <w:r>
        <w:rPr>
          <w:rFonts w:cs="Arial" w:ascii="Arial" w:hAnsi="Arial"/>
          <w:spacing w:val="-2"/>
        </w:rPr>
        <w:t xml:space="preserve">copy </w:t>
      </w:r>
      <w:r>
        <w:rPr>
          <w:rFonts w:cs="Arial" w:ascii="Arial" w:hAnsi="Arial"/>
          <w:spacing w:val="2"/>
        </w:rPr>
        <w:t>of the Gun-Free Schools Act and Appendix B contains a copy of the 2001-2002 GFSA states and outlying areas data collection instrument.</w:t>
      </w:r>
    </w:p>
    <w:p>
      <w:pPr>
        <w:pStyle w:val="Normal"/>
        <w:spacing w:lineRule="auto" w:line="240"/>
        <w:jc w:val="left"/>
        <w:rPr>
          <w:rFonts w:ascii="Arial" w:hAnsi="Arial" w:cs="Arial"/>
          <w:spacing w:val="2"/>
        </w:rPr>
      </w:pPr>
      <w:r>
        <w:rPr>
          <w:rFonts w:cs="Arial" w:ascii="Arial" w:hAnsi="Arial"/>
          <w:spacing w:val="2"/>
        </w:rPr>
      </w:r>
    </w:p>
    <w:p>
      <w:pPr>
        <w:sectPr>
          <w:footerReference w:type="default" r:id="rId5"/>
          <w:footerReference w:type="first" r:id="rId6"/>
          <w:footnotePr>
            <w:numFmt w:val="decimal"/>
          </w:footnotePr>
          <w:type w:val="nextPage"/>
          <w:pgSz w:w="12240" w:h="15840"/>
          <w:pgMar w:left="1620" w:right="1440" w:header="0" w:top="864" w:footer="576" w:bottom="1152" w:gutter="0"/>
          <w:pgNumType w:start="1" w:fmt="decimal"/>
          <w:formProt w:val="false"/>
          <w:titlePg/>
          <w:textDirection w:val="lrTb"/>
          <w:docGrid w:type="default" w:linePitch="360" w:charSpace="0"/>
        </w:sectPr>
        <w:pStyle w:val="Normal"/>
        <w:spacing w:lineRule="auto" w:line="240"/>
        <w:jc w:val="left"/>
        <w:rPr>
          <w:rFonts w:ascii="Arial" w:hAnsi="Arial" w:cs="Arial"/>
          <w:spacing w:val="2"/>
        </w:rPr>
      </w:pPr>
      <w:r>
        <w:rPr>
          <w:rFonts w:cs="Arial" w:ascii="Arial" w:hAnsi="Arial"/>
          <w:spacing w:val="2"/>
        </w:rPr>
      </w:r>
    </w:p>
    <w:p>
      <w:pPr>
        <w:pStyle w:val="Normal"/>
        <w:pBdr>
          <w:top w:val="threeDEmboss" w:sz="12" w:space="1" w:color="000000"/>
        </w:pBdr>
        <w:spacing w:lineRule="auto" w:line="240"/>
        <w:jc w:val="left"/>
        <w:rPr>
          <w:rFonts w:ascii="Arial" w:hAnsi="Arial" w:cs="Arial"/>
          <w:spacing w:val="2"/>
        </w:rPr>
      </w:pPr>
      <w:r>
        <w:rPr>
          <w:rFonts w:cs="Arial" w:ascii="Arial" w:hAnsi="Arial"/>
          <w:b/>
          <w:spacing w:val="2"/>
        </w:rPr>
        <w:t>Data Quality and Interpretation of Findings</w:t>
      </w:r>
    </w:p>
    <w:p>
      <w:pPr>
        <w:pStyle w:val="Normal"/>
        <w:spacing w:lineRule="auto" w:line="240"/>
        <w:jc w:val="left"/>
        <w:rPr>
          <w:rFonts w:ascii="Arial" w:hAnsi="Arial" w:cs="Arial"/>
          <w:spacing w:val="2"/>
        </w:rPr>
      </w:pPr>
      <w:r>
        <w:rPr>
          <w:rFonts w:cs="Arial" w:ascii="Arial" w:hAnsi="Arial"/>
          <w:spacing w:val="2"/>
        </w:rPr>
      </w:r>
    </w:p>
    <w:p>
      <w:pPr>
        <w:pStyle w:val="Normal"/>
        <w:spacing w:lineRule="atLeast" w:line="252"/>
        <w:jc w:val="left"/>
        <w:rPr/>
      </w:pPr>
      <w:r>
        <w:rPr/>
        <w:t>T</w:t>
      </w:r>
      <w:r>
        <w:rPr>
          <w:rFonts w:cs="Arial" w:ascii="Arial" w:hAnsi="Arial"/>
          <w:spacing w:val="2"/>
        </w:rPr>
        <w:t xml:space="preserve">he information contained in this report should be interpreted with caution. As noted on the summary state-by-state tables and on the individual state and outlying area pages, some states and outlying areas attached caveats and notes to their data that should be considered when </w:t>
      </w:r>
      <w:r>
        <w:rPr>
          <w:rFonts w:cs="Arial" w:ascii="Arial" w:hAnsi="Arial"/>
        </w:rPr>
        <w:t>interpreting the data. This is of particular importance when examining national totals, as they are made up of data that are not necessarily comparable from state to state in all cases.</w:t>
      </w:r>
    </w:p>
    <w:p>
      <w:pPr>
        <w:pStyle w:val="Normal"/>
        <w:spacing w:lineRule="atLeast" w:line="252"/>
        <w:jc w:val="left"/>
        <w:rPr>
          <w:rFonts w:ascii="Arial" w:hAnsi="Arial" w:cs="Arial"/>
        </w:rPr>
      </w:pPr>
      <w:r>
        <w:rPr>
          <w:rFonts w:cs="Arial" w:ascii="Arial" w:hAnsi="Arial"/>
        </w:rPr>
      </w:r>
    </w:p>
    <w:p>
      <w:pPr>
        <w:pStyle w:val="Normal"/>
        <w:spacing w:lineRule="auto" w:line="240" w:before="0" w:after="144"/>
        <w:jc w:val="left"/>
        <w:rPr/>
      </w:pPr>
      <w:r>
        <w:rPr>
          <w:rFonts w:cs="Arial" w:ascii="Arial" w:hAnsi="Arial"/>
        </w:rPr>
        <w:t xml:space="preserve">Finally, this report is not designed to provide information to the reader regarding the rate at which students carry firearms to school. The data summarized in this report relates to actions taken in regard to the number of students </w:t>
      </w:r>
      <w:r>
        <w:rPr>
          <w:rFonts w:cs="Arial" w:ascii="Arial" w:hAnsi="Arial"/>
          <w:i/>
        </w:rPr>
        <w:t>found</w:t>
      </w:r>
      <w:r>
        <w:rPr>
          <w:rFonts w:cs="Arial" w:ascii="Arial" w:hAnsi="Arial"/>
        </w:rPr>
        <w:t xml:space="preserve"> bringing firearms to schools.</w:t>
      </w:r>
    </w:p>
    <w:p>
      <w:pPr>
        <w:pStyle w:val="Normal"/>
        <w:spacing w:lineRule="auto" w:line="240"/>
        <w:jc w:val="left"/>
        <w:rPr>
          <w:rFonts w:ascii="Arial" w:hAnsi="Arial" w:cs="Arial"/>
          <w:b/>
          <w:b/>
          <w:spacing w:val="2"/>
        </w:rPr>
      </w:pPr>
      <w:r>
        <w:rPr>
          <w:rFonts w:cs="Arial" w:ascii="Arial" w:hAnsi="Arial"/>
          <w:b/>
          <w:spacing w:val="2"/>
        </w:rPr>
        <w:t>Data Collection and Verification</w:t>
      </w:r>
    </w:p>
    <w:p>
      <w:pPr>
        <w:pStyle w:val="Normal"/>
        <w:spacing w:lineRule="auto" w:line="240"/>
        <w:jc w:val="left"/>
        <w:rPr>
          <w:rFonts w:ascii="Arial" w:hAnsi="Arial" w:cs="Arial"/>
          <w:b/>
          <w:b/>
          <w:spacing w:val="2"/>
        </w:rPr>
      </w:pPr>
      <w:r>
        <w:rPr>
          <w:rFonts w:cs="Arial" w:ascii="Arial" w:hAnsi="Arial"/>
          <w:b/>
          <w:spacing w:val="2"/>
        </w:rPr>
      </w:r>
    </w:p>
    <w:p>
      <w:pPr>
        <w:pStyle w:val="Normal"/>
        <w:spacing w:lineRule="atLeast" w:line="252" w:before="0" w:after="144"/>
        <w:jc w:val="left"/>
        <w:rPr/>
      </w:pPr>
      <w:r>
        <w:rPr/>
        <w:t>W</w:t>
      </w:r>
      <w:r>
        <w:rPr>
          <w:rFonts w:cs="Arial" w:ascii="Arial" w:hAnsi="Arial"/>
        </w:rPr>
        <w:t>estat, under contract with the Department, received reports from the Department of Education for each state and outlying area. States and outlying areas were asked to submit their reports by Dec. 2, 2002.  In order to ensure that the data were reported accurately, the following procedures were followed:</w:t>
      </w:r>
    </w:p>
    <w:p>
      <w:pPr>
        <w:pStyle w:val="Normal"/>
        <w:numPr>
          <w:ilvl w:val="0"/>
          <w:numId w:val="6"/>
        </w:numPr>
        <w:spacing w:lineRule="auto" w:line="240"/>
        <w:ind w:left="432" w:right="720" w:hanging="432"/>
        <w:jc w:val="left"/>
        <w:rPr>
          <w:rFonts w:ascii="Arial" w:hAnsi="Arial" w:cs="Arial"/>
        </w:rPr>
      </w:pPr>
      <w:r>
        <w:rPr>
          <w:rFonts w:cs="Arial" w:ascii="Arial" w:hAnsi="Arial"/>
        </w:rPr>
        <w:t>As each survey was received, Westat reviewed it for completeness and internal consistency and entered the data into a database.</w:t>
      </w:r>
    </w:p>
    <w:p>
      <w:pPr>
        <w:pStyle w:val="Normal"/>
        <w:numPr>
          <w:ilvl w:val="0"/>
          <w:numId w:val="6"/>
        </w:numPr>
        <w:spacing w:lineRule="auto" w:line="240"/>
        <w:jc w:val="left"/>
        <w:rPr>
          <w:rFonts w:ascii="Arial" w:hAnsi="Arial" w:cs="Arial"/>
        </w:rPr>
      </w:pPr>
      <w:r>
        <w:rPr>
          <w:rFonts w:cs="Arial" w:ascii="Arial" w:hAnsi="Arial"/>
        </w:rPr>
        <w:t>In a few cases, Westat contacted the state and outlying area to obtain a correction or clarification of the data submitted. For example, the data provider was contacted if the forms submitted were not internally consistent, if the rows or columns did not add to the printed totals, or if the 2001-2002 data represented a large change from the data reported for 2000-2001.</w:t>
      </w:r>
    </w:p>
    <w:p>
      <w:pPr>
        <w:pStyle w:val="Normal"/>
        <w:numPr>
          <w:ilvl w:val="0"/>
          <w:numId w:val="6"/>
        </w:numPr>
        <w:spacing w:lineRule="auto" w:line="240"/>
        <w:jc w:val="left"/>
        <w:rPr>
          <w:vanish/>
        </w:rPr>
      </w:pPr>
      <w:r>
        <w:rPr>
          <w:rFonts w:cs="Arial" w:ascii="Arial" w:hAnsi="Arial"/>
        </w:rPr>
        <w:t>Once Westat received all of the data, all states and outlying areas were contacted and asked to provide final data verification by fax.</w:t>
      </w:r>
      <w:r>
        <w:rPr/>
        <w:t xml:space="preserve"> </w:t>
      </w:r>
    </w:p>
    <w:p>
      <w:pPr>
        <w:pStyle w:val="Normal"/>
        <w:spacing w:lineRule="auto" w:line="240"/>
        <w:jc w:val="left"/>
        <w:rPr>
          <w:vanish/>
        </w:rPr>
      </w:pPr>
      <w:r>
        <w:rPr>
          <w:vanish/>
        </w:rPr>
      </w:r>
    </w:p>
    <w:p>
      <w:pPr>
        <w:pStyle w:val="Normal"/>
        <w:spacing w:lineRule="auto" w:line="240"/>
        <w:jc w:val="left"/>
        <w:rPr/>
      </w:pPr>
      <w:r>
        <w:rPr/>
      </w:r>
    </w:p>
    <w:p>
      <w:pPr>
        <w:pStyle w:val="CTContractInformation"/>
        <w:tabs>
          <w:tab w:val="clear" w:pos="1958"/>
        </w:tabs>
        <w:bidi w:val="0"/>
        <w:spacing w:lineRule="auto" w:line="240"/>
        <w:jc w:val="left"/>
        <w:rPr>
          <w:rFonts w:ascii="Arial" w:hAnsi="Arial" w:cs="Arial"/>
          <w:vanish w:val="false"/>
        </w:rPr>
      </w:pPr>
      <w:r>
        <w:rPr>
          <w:rFonts w:cs="Arial" w:ascii="Arial" w:hAnsi="Arial"/>
          <w:vanish w:val="false"/>
        </w:rPr>
        <w:t>In addition, the Department works with the states and outlying areas on an ongoing basis to ensure that the submitted data are as accurate as possible.</w:t>
      </w:r>
    </w:p>
    <w:p>
      <w:pPr>
        <w:pStyle w:val="CTContractInformation"/>
        <w:tabs>
          <w:tab w:val="clear" w:pos="1958"/>
          <w:tab w:val="left" w:pos="432" w:leader="none"/>
        </w:tabs>
        <w:bidi w:val="0"/>
        <w:spacing w:lineRule="auto" w:line="240"/>
        <w:jc w:val="left"/>
        <w:rPr>
          <w:rFonts w:ascii="Arial" w:hAnsi="Arial" w:cs="Arial"/>
          <w:vanish w:val="false"/>
        </w:rPr>
      </w:pPr>
      <w:r>
        <w:rPr>
          <w:rFonts w:cs="Arial" w:ascii="Arial" w:hAnsi="Arial"/>
          <w:vanish w:val="false"/>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t>Summary of Findings</w:t>
      </w:r>
    </w:p>
    <w:p>
      <w:pPr>
        <w:pStyle w:val="Normal"/>
        <w:spacing w:lineRule="auto" w:line="240"/>
        <w:jc w:val="left"/>
        <w:rPr>
          <w:rFonts w:ascii="Arial" w:hAnsi="Arial" w:cs="Arial"/>
          <w:b/>
          <w:b/>
          <w:spacing w:val="2"/>
        </w:rPr>
      </w:pPr>
      <w:r>
        <w:rPr>
          <w:rFonts w:cs="Arial" w:ascii="Arial" w:hAnsi="Arial"/>
          <w:b/>
          <w:spacing w:val="2"/>
        </w:rPr>
      </w:r>
    </w:p>
    <w:p>
      <w:pPr>
        <w:pStyle w:val="Normal"/>
        <w:numPr>
          <w:ilvl w:val="0"/>
          <w:numId w:val="13"/>
        </w:numPr>
        <w:spacing w:lineRule="auto" w:line="240"/>
        <w:ind w:left="432" w:right="144" w:hanging="432"/>
        <w:jc w:val="left"/>
        <w:rPr/>
      </w:pPr>
      <w:r>
        <w:rPr>
          <w:rFonts w:cs="Arial" w:ascii="Arial" w:hAnsi="Arial"/>
        </w:rPr>
        <w:t>Overall, all 56 states and outlying areas reported under the GFSA for the 2001-2002 school year. These states and outlying areas reported that they expelled a total of 2,554 students from school for bringing a firearm</w:t>
      </w:r>
      <w:r>
        <w:rPr>
          <w:rStyle w:val="FootnoteCharacters"/>
          <w:rStyle w:val="FootnoteAnchor"/>
        </w:rPr>
        <w:footnoteReference w:id="4"/>
      </w:r>
      <w:r>
        <w:rPr>
          <w:rFonts w:cs="Arial" w:ascii="Arial" w:hAnsi="Arial"/>
        </w:rPr>
        <w:t xml:space="preserve"> to school (see Table 1).</w:t>
      </w:r>
    </w:p>
    <w:p>
      <w:pPr>
        <w:pStyle w:val="Normal"/>
        <w:numPr>
          <w:ilvl w:val="0"/>
          <w:numId w:val="13"/>
        </w:numPr>
        <w:spacing w:lineRule="auto" w:line="240"/>
        <w:jc w:val="left"/>
        <w:rPr>
          <w:rFonts w:ascii="Arial" w:hAnsi="Arial" w:cs="Arial"/>
        </w:rPr>
      </w:pPr>
      <w:r>
        <w:rPr>
          <w:rFonts w:cs="Arial" w:ascii="Arial" w:hAnsi="Arial"/>
        </w:rPr>
        <w:t>Fifty-seven percent of the expulsions by school level were students in high school, 30 percent were in junior high, and 13 percent were in elementary school (see Table 2).</w:t>
      </w:r>
    </w:p>
    <w:p>
      <w:pPr>
        <w:pStyle w:val="Normal"/>
        <w:numPr>
          <w:ilvl w:val="0"/>
          <w:numId w:val="13"/>
        </w:numPr>
        <w:spacing w:lineRule="auto" w:line="240"/>
        <w:jc w:val="left"/>
        <w:rPr>
          <w:rFonts w:ascii="Arial" w:hAnsi="Arial" w:cs="Arial"/>
        </w:rPr>
      </w:pPr>
      <w:r>
        <w:rPr>
          <w:rFonts w:cs="Arial" w:ascii="Arial" w:hAnsi="Arial"/>
        </w:rPr>
        <w:t xml:space="preserve">Fifty percent of the expulsions by firearm were for bringing a handgun to school. Thirty-eight percent were for some other type of firearm or other destructive device, such as bombs or grenades, or starter pistols and 12 percent of the expulsions were for bringing a rifle or shotgun to school (see Table 3). </w:t>
      </w:r>
    </w:p>
    <w:p>
      <w:pPr>
        <w:pStyle w:val="Normal"/>
        <w:numPr>
          <w:ilvl w:val="0"/>
          <w:numId w:val="12"/>
        </w:numPr>
        <w:spacing w:lineRule="auto" w:line="240"/>
        <w:jc w:val="left"/>
        <w:rPr>
          <w:rFonts w:ascii="Arial" w:hAnsi="Arial" w:cs="Arial"/>
        </w:rPr>
      </w:pPr>
      <w:r>
        <w:rPr>
          <w:rFonts w:cs="Arial" w:ascii="Arial" w:hAnsi="Arial"/>
        </w:rPr>
        <w:t>Thirty-seven percent of expulsions were shortened to less than one year (see Table 5).</w:t>
      </w:r>
    </w:p>
    <w:p>
      <w:pPr>
        <w:pStyle w:val="Normal"/>
        <w:numPr>
          <w:ilvl w:val="0"/>
          <w:numId w:val="11"/>
        </w:numPr>
        <w:spacing w:lineRule="auto" w:line="240"/>
        <w:jc w:val="left"/>
        <w:rPr>
          <w:rFonts w:ascii="Arial" w:hAnsi="Arial" w:cs="Arial"/>
        </w:rPr>
      </w:pPr>
      <w:r>
        <w:rPr>
          <w:rFonts w:cs="Arial" w:ascii="Arial" w:hAnsi="Arial"/>
        </w:rPr>
        <w:t>Seventy-seven percent of shortened expulsions were for students who were not considered disabled (see Table 6).</w:t>
      </w:r>
    </w:p>
    <w:p>
      <w:pPr>
        <w:pStyle w:val="Normal"/>
        <w:numPr>
          <w:ilvl w:val="0"/>
          <w:numId w:val="11"/>
        </w:numPr>
        <w:spacing w:lineRule="atLeast" w:line="264"/>
        <w:jc w:val="left"/>
        <w:rPr>
          <w:rFonts w:ascii="Arial" w:hAnsi="Arial" w:cs="Arial"/>
        </w:rPr>
      </w:pPr>
      <w:r>
        <w:rPr>
          <w:rFonts w:cs="Arial" w:ascii="Arial" w:hAnsi="Arial"/>
        </w:rPr>
        <w:t>Thirty-eight percent of the expelled students in reporting states and outlying areas were referred to an alternative school or placement (see Table 7).</w:t>
      </w:r>
      <w:r>
        <w:br w:type="page"/>
      </w:r>
    </w:p>
    <w:p>
      <w:pPr>
        <w:pStyle w:val="Normal"/>
        <w:pBdr>
          <w:top w:val="threeDEngrave" w:sz="12" w:space="1" w:color="000000"/>
        </w:pBdr>
        <w:spacing w:lineRule="atLeast" w:line="264"/>
        <w:jc w:val="left"/>
        <w:rPr>
          <w:rFonts w:ascii="Arial" w:hAnsi="Arial" w:cs="Arial"/>
        </w:rPr>
      </w:pPr>
      <w:r>
        <w:rPr>
          <w:rFonts w:cs="Arial" w:ascii="Arial" w:hAnsi="Arial"/>
          <w:b/>
          <w:spacing w:val="2"/>
        </w:rPr>
        <w:t>Expulsions for Bringing a Firearm to School</w:t>
      </w:r>
      <w:r>
        <w:rPr>
          <w:b/>
          <w:spacing w:val="2"/>
        </w:rPr>
        <w:t>─</w:t>
      </w:r>
      <w:r>
        <w:rPr>
          <w:rFonts w:cs="Arial" w:ascii="Arial" w:hAnsi="Arial"/>
          <w:b/>
          <w:spacing w:val="2"/>
        </w:rPr>
        <w:t>Overview</w:t>
      </w:r>
    </w:p>
    <w:p>
      <w:pPr>
        <w:pStyle w:val="CTContractInformation"/>
        <w:tabs>
          <w:tab w:val="clear" w:pos="1958"/>
        </w:tabs>
        <w:bidi w:val="0"/>
        <w:spacing w:lineRule="auto" w:line="240"/>
        <w:jc w:val="left"/>
        <w:rPr>
          <w:rFonts w:ascii="Arial" w:hAnsi="Arial" w:cs="Arial"/>
          <w:vanish w:val="false"/>
        </w:rPr>
      </w:pPr>
      <w:r>
        <w:rPr>
          <w:rFonts w:cs="Arial" w:ascii="Arial" w:hAnsi="Arial"/>
          <w:vanish w:val="false"/>
        </w:rPr>
      </w:r>
    </w:p>
    <w:p>
      <w:pPr>
        <w:pStyle w:val="Normal"/>
        <w:spacing w:lineRule="auto" w:line="240"/>
        <w:jc w:val="left"/>
        <w:rPr/>
      </w:pPr>
      <w:r>
        <w:rPr>
          <w:rFonts w:cs="Arial" w:ascii="Arial" w:hAnsi="Arial"/>
        </w:rPr>
        <w:t>Overall, 56 states and outlying areas provided data on the number of students expelled for bringing a firearm to school, for a total of 2,554 expulsions. Alabama, Arizona, California, Georgia, Texas, and Virginia were the only states and outlying areas with greater than 100 expulsions each. When viewed as the number of expulsions per 1,000 enrolled students, Alaska had the highest number of expulsions per 1,000 students. Refer to Table 1 for more detailed information on the data provided by the individual states and outlying areas.</w:t>
      </w:r>
    </w:p>
    <w:p>
      <w:pPr>
        <w:pStyle w:val="CTContractInformation"/>
        <w:tabs>
          <w:tab w:val="clear" w:pos="1958"/>
        </w:tabs>
        <w:bidi w:val="0"/>
        <w:spacing w:lineRule="auto" w:line="240"/>
        <w:jc w:val="left"/>
        <w:rPr>
          <w:rFonts w:ascii="Arial" w:hAnsi="Arial" w:cs="Arial"/>
          <w:vanish w:val="false"/>
        </w:rPr>
      </w:pPr>
      <w:r>
        <w:rPr>
          <w:rFonts w:cs="Arial" w:ascii="Arial" w:hAnsi="Arial"/>
          <w:vanish w:val="false"/>
        </w:rPr>
      </w:r>
    </w:p>
    <w:p>
      <w:pPr>
        <w:pStyle w:val="Normal"/>
        <w:pBdr>
          <w:top w:val="threeDEngrave" w:sz="12" w:space="1" w:color="000000"/>
        </w:pBdr>
        <w:spacing w:lineRule="auto" w:line="240"/>
        <w:jc w:val="left"/>
        <w:rPr>
          <w:rFonts w:ascii="Arial" w:hAnsi="Arial" w:cs="Arial"/>
        </w:rPr>
      </w:pPr>
      <w:r>
        <w:rPr>
          <w:rFonts w:cs="Arial" w:ascii="Arial" w:hAnsi="Arial"/>
          <w:b/>
          <w:spacing w:val="2"/>
        </w:rPr>
        <w:t>School Level</w:t>
      </w:r>
    </w:p>
    <w:p>
      <w:pPr>
        <w:pStyle w:val="Normal"/>
        <w:spacing w:lineRule="atLeast" w:line="252"/>
        <w:jc w:val="left"/>
        <w:rPr>
          <w:rFonts w:ascii="Arial" w:hAnsi="Arial" w:cs="Arial"/>
          <w:lang w:val="en-US" w:eastAsia="en-US"/>
        </w:rPr>
      </w:pPr>
      <w:r>
        <w:rPr>
          <w:rFonts w:cs="Arial" w:ascii="Arial" w:hAnsi="Arial"/>
          <w:lang w:val="en-US" w:eastAsia="en-US"/>
        </w:rPr>
        <w:object w:dxaOrig="14400" w:dyaOrig="10800">
          <v:shape id="ole_rId7" style="width:285.35pt;height:214.25pt" o:ole="">
            <v:imagedata r:id="rId8" o:title=""/>
          </v:shape>
          <o:OLEObject Type="Embed" ProgID="PowerPoint.Show.12" ShapeID="ole_rId7" DrawAspect="Content" ObjectID="_2054726944" r:id="rId7"/>
        </w:object>
      </w:r>
    </w:p>
    <w:p>
      <w:pPr>
        <w:pStyle w:val="Normal"/>
        <w:spacing w:lineRule="atLeast" w:line="252"/>
        <w:jc w:val="left"/>
        <w:rPr>
          <w:rFonts w:ascii="Arial" w:hAnsi="Arial" w:cs="Arial"/>
        </w:rPr>
      </w:pPr>
      <w:r>
        <w:rPr/>
        <w:t>A</w:t>
      </w:r>
      <w:r>
        <w:rPr>
          <w:rFonts w:cs="Arial" w:ascii="Arial" w:hAnsi="Arial"/>
        </w:rPr>
        <w:t>ll states and outlying areas provided data on their expulsions by school level.</w:t>
      </w:r>
      <w:r>
        <w:rPr>
          <w:rStyle w:val="FootnoteCharacters"/>
          <w:rStyle w:val="FootnoteAnchor"/>
        </w:rPr>
        <w:footnoteReference w:id="5"/>
      </w:r>
      <w:r>
        <w:rPr>
          <w:sz w:val="20"/>
        </w:rPr>
        <w:t xml:space="preserve"> </w:t>
      </w:r>
    </w:p>
    <w:p>
      <w:pPr>
        <w:pStyle w:val="Normal"/>
        <w:spacing w:lineRule="atLeast" w:line="252"/>
        <w:jc w:val="left"/>
        <w:rPr>
          <w:rFonts w:ascii="Arial" w:hAnsi="Arial" w:cs="Arial"/>
        </w:rPr>
      </w:pPr>
      <w:r>
        <w:rPr>
          <w:rFonts w:cs="Arial" w:ascii="Arial" w:hAnsi="Arial"/>
        </w:rPr>
      </w:r>
    </w:p>
    <w:p>
      <w:pPr>
        <w:pStyle w:val="Normal"/>
        <w:spacing w:lineRule="auto" w:line="240"/>
        <w:jc w:val="left"/>
        <w:rPr>
          <w:rFonts w:ascii="Arial" w:hAnsi="Arial" w:cs="Arial"/>
        </w:rPr>
      </w:pPr>
      <w:r>
        <w:rPr>
          <w:rFonts w:cs="Arial" w:ascii="Arial" w:hAnsi="Arial"/>
        </w:rPr>
        <w:t>Of the 2,554 expulsions reported by school level, more than half, 57 percent (1,453), were students in senior high schools, 30 percent (768) were students in junior high, and 13 percent (333) were elementary school students (see Figure 1 and Table 2).</w:t>
      </w:r>
    </w:p>
    <w:p>
      <w:pPr>
        <w:pStyle w:val="Normal"/>
        <w:spacing w:lineRule="auto" w:line="240"/>
        <w:jc w:val="left"/>
        <w:rPr>
          <w:rFonts w:ascii="Arial" w:hAnsi="Arial" w:cs="Arial"/>
        </w:rPr>
      </w:pPr>
      <w:r>
        <w:rPr>
          <w:rFonts w:cs="Arial" w:ascii="Arial" w:hAnsi="Arial"/>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r>
        <w:br w:type="page"/>
      </w:r>
    </w:p>
    <w:p>
      <w:pPr>
        <w:pStyle w:val="Normal"/>
        <w:pBdr>
          <w:top w:val="threeDEngrave" w:sz="12" w:space="1" w:color="000000"/>
        </w:pBdr>
        <w:spacing w:lineRule="auto" w:line="240"/>
        <w:jc w:val="left"/>
        <w:rPr>
          <w:rFonts w:ascii="Arial" w:hAnsi="Arial" w:cs="Arial"/>
        </w:rPr>
      </w:pPr>
      <w:r>
        <w:rPr>
          <w:rFonts w:cs="Arial" w:ascii="Arial" w:hAnsi="Arial"/>
          <w:b/>
          <w:spacing w:val="2"/>
        </w:rPr>
        <w:t>Type of Firearm</w:t>
      </w:r>
    </w:p>
    <w:p>
      <w:pPr>
        <w:pStyle w:val="Normal"/>
        <w:keepNext w:val="true"/>
        <w:keepLines/>
        <w:spacing w:lineRule="auto" w:line="240"/>
        <w:jc w:val="left"/>
        <w:rPr>
          <w:rFonts w:ascii="Arial" w:hAnsi="Arial" w:cs="Arial"/>
          <w:spacing w:val="2"/>
          <w:lang w:val="en-US" w:eastAsia="en-US"/>
        </w:rPr>
      </w:pPr>
      <w:r>
        <w:rPr>
          <w:rFonts w:cs="Arial" w:ascii="Arial" w:hAnsi="Arial"/>
          <w:spacing w:val="2"/>
          <w:lang w:val="en-US" w:eastAsia="en-US"/>
        </w:rPr>
        <w:object w:dxaOrig="14400" w:dyaOrig="10800">
          <v:shape id="ole_rId9" style="width:294pt;height:220pt" o:ole="">
            <v:imagedata r:id="rId10" o:title=""/>
          </v:shape>
          <o:OLEObject Type="Embed" ProgID="PowerPoint.Show.12" ShapeID="ole_rId9" DrawAspect="Content" ObjectID="_1720869232" r:id="rId9"/>
        </w:object>
      </w:r>
    </w:p>
    <w:p>
      <w:pPr>
        <w:pStyle w:val="Normal"/>
        <w:spacing w:lineRule="auto" w:line="240"/>
        <w:jc w:val="left"/>
        <w:rPr>
          <w:rFonts w:ascii="Arial" w:hAnsi="Arial" w:cs="Arial"/>
          <w:spacing w:val="2"/>
          <w:lang w:val="en-US" w:eastAsia="en-US"/>
        </w:rPr>
      </w:pPr>
      <w:r>
        <w:rPr/>
        <w:t>O</w:t>
      </w:r>
      <w:r>
        <w:rPr>
          <w:rFonts w:cs="Arial" w:ascii="Arial" w:hAnsi="Arial"/>
          <w:spacing w:val="2"/>
          <w:lang w:val="en-US" w:eastAsia="en-US"/>
        </w:rPr>
        <w:t>f the 2,523</w:t>
      </w:r>
      <w:r>
        <w:rPr>
          <w:rStyle w:val="FootnoteCharacters"/>
          <w:rStyle w:val="FootnoteAnchor"/>
          <w:rFonts w:cs="Arial" w:ascii="Arial" w:hAnsi="Arial"/>
          <w:spacing w:val="2"/>
          <w:lang w:val="en-US" w:eastAsia="en-US"/>
        </w:rPr>
        <w:footnoteReference w:id="6"/>
      </w:r>
      <w:r>
        <w:rPr>
          <w:rFonts w:cs="Arial" w:ascii="Arial" w:hAnsi="Arial"/>
          <w:spacing w:val="2"/>
          <w:lang w:val="en-US" w:eastAsia="en-US"/>
        </w:rPr>
        <w:t xml:space="preserve"> reported expulsions by type of firearm, 50 percent (1,257) involved handguns, 12 percent (310) involved rifles or shotguns, and the remaining 39 percent (953) involved other types of firearms (such as bombs, grenades, and starter pistols) (see Figure 2 and Table 3).</w:t>
      </w:r>
      <w:r>
        <w:rPr>
          <w:sz w:val="20"/>
        </w:rPr>
        <w:t xml:space="preserve"> </w:t>
      </w:r>
    </w:p>
    <w:p>
      <w:pPr>
        <w:pStyle w:val="Normal"/>
        <w:spacing w:lineRule="auto" w:line="240"/>
        <w:jc w:val="left"/>
        <w:rPr>
          <w:rFonts w:ascii="Arial" w:hAnsi="Arial" w:cs="Arial"/>
          <w:spacing w:val="2"/>
          <w:lang w:val="en-US" w:eastAsia="en-US"/>
        </w:rPr>
      </w:pPr>
      <w:r>
        <w:rPr>
          <w:rFonts w:cs="Arial" w:ascii="Arial" w:hAnsi="Arial"/>
          <w:spacing w:val="2"/>
          <w:lang w:val="en-US" w:eastAsia="en-US"/>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r>
    </w:p>
    <w:p>
      <w:pPr>
        <w:pStyle w:val="Normal"/>
        <w:pBdr>
          <w:top w:val="threeDEngrave" w:sz="12" w:space="1" w:color="000000"/>
        </w:pBdr>
        <w:spacing w:lineRule="auto" w:line="240"/>
        <w:jc w:val="left"/>
        <w:rPr>
          <w:rFonts w:ascii="Arial" w:hAnsi="Arial" w:cs="Arial"/>
          <w:spacing w:val="2"/>
        </w:rPr>
      </w:pPr>
      <w:r>
        <w:rPr>
          <w:rFonts w:cs="Arial" w:ascii="Arial" w:hAnsi="Arial"/>
          <w:b/>
          <w:spacing w:val="2"/>
        </w:rPr>
        <w:t>Overall Year-to-Year Changes</w:t>
      </w:r>
      <w:r>
        <w:rPr>
          <w:b/>
          <w:spacing w:val="2"/>
        </w:rPr>
        <w:t>─</w:t>
      </w:r>
      <w:r>
        <w:rPr>
          <w:rFonts w:cs="Arial" w:ascii="Arial" w:hAnsi="Arial"/>
          <w:b/>
          <w:spacing w:val="2"/>
        </w:rPr>
        <w:t>2000-2001 to 2001-2002</w:t>
      </w:r>
    </w:p>
    <w:p>
      <w:pPr>
        <w:pStyle w:val="Normal"/>
        <w:keepNext w:val="true"/>
        <w:keepLines/>
        <w:spacing w:lineRule="auto" w:line="240"/>
        <w:jc w:val="left"/>
        <w:rPr>
          <w:rFonts w:ascii="Arial" w:hAnsi="Arial" w:cs="Arial"/>
          <w:spacing w:val="2"/>
        </w:rPr>
      </w:pPr>
      <w:r>
        <w:rPr>
          <w:rFonts w:cs="Arial" w:ascii="Arial" w:hAnsi="Arial"/>
          <w:spacing w:val="2"/>
        </w:rPr>
      </w:r>
    </w:p>
    <w:p>
      <w:pPr>
        <w:pStyle w:val="Normal"/>
        <w:keepNext w:val="true"/>
        <w:keepLines/>
        <w:spacing w:lineRule="auto" w:line="240"/>
        <w:jc w:val="left"/>
        <w:rPr/>
      </w:pPr>
      <w:r>
        <w:rPr>
          <w:rFonts w:cs="Arial" w:ascii="Arial" w:hAnsi="Arial"/>
          <w:spacing w:val="2"/>
        </w:rPr>
        <w:t xml:space="preserve">Overall, the reported number of expulsions increased 1 percent from 2,537 in 2000-2001 to 2,554 in 2001-2002. Of the 56 states and outlying areas reporting expulsions, 24 states and outlying areas showed a decrease </w:t>
      </w:r>
      <w:r>
        <w:rPr>
          <w:rFonts w:cs="Arial" w:ascii="Arial" w:hAnsi="Arial"/>
        </w:rPr>
        <w:t xml:space="preserve">in </w:t>
      </w:r>
      <w:r>
        <w:rPr>
          <w:rFonts w:cs="Arial" w:ascii="Arial" w:hAnsi="Arial"/>
          <w:spacing w:val="2"/>
        </w:rPr>
        <w:t>the number of expulsions from 2000-2001 to 2001-2002. Among these, the greatest percentage decreases were reported in New Hampshire, Ohio, and West Virginia. Conversely, 23 states showed an increase in the number of expulsions from 2000-2001 to 2001-2002 with the largest percentage increases in Alaska, Arkansas, Delaware, Kentucky, Massachusetts, Montana, and Oklahoma.</w:t>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t>A brief discussion of how reported information for 2001-2002 fits in the broader context of the data reported for the previous five years is included in each of the following sections.  See Table 9 for the total number of expulsions reported by each state and outlying area over the last six years.</w:t>
      </w:r>
    </w:p>
    <w:p>
      <w:pPr>
        <w:pStyle w:val="Normal"/>
        <w:spacing w:lineRule="auto" w:line="240"/>
        <w:jc w:val="left"/>
        <w:rPr>
          <w:rFonts w:ascii="Arial" w:hAnsi="Arial" w:cs="Arial"/>
          <w:spacing w:val="2"/>
        </w:rPr>
      </w:pPr>
      <w:r>
        <w:rPr>
          <w:rFonts w:cs="Arial" w:ascii="Arial" w:hAnsi="Arial"/>
          <w:spacing w:val="2"/>
        </w:rPr>
      </w:r>
    </w:p>
    <w:p>
      <w:pPr>
        <w:pStyle w:val="Normal"/>
        <w:pBdr>
          <w:top w:val="threeDEngrave" w:sz="12" w:space="1" w:color="000000"/>
        </w:pBdr>
        <w:spacing w:lineRule="auto" w:line="240"/>
        <w:jc w:val="left"/>
        <w:rPr>
          <w:rFonts w:ascii="Arial" w:hAnsi="Arial" w:cs="Arial"/>
          <w:spacing w:val="2"/>
        </w:rPr>
      </w:pPr>
      <w:r>
        <w:rPr>
          <w:rFonts w:cs="Arial" w:ascii="Arial" w:hAnsi="Arial"/>
          <w:b/>
          <w:spacing w:val="2"/>
        </w:rPr>
        <w:t>Shortened Expulsions and Students with Disabilities</w:t>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pPr>
      <w:r>
        <w:rPr/>
        <w:t>T</w:t>
      </w:r>
      <w:r>
        <w:rPr>
          <w:rFonts w:cs="Arial" w:ascii="Arial" w:hAnsi="Arial"/>
          <w:spacing w:val="2"/>
        </w:rPr>
        <w:t>he GFSA allows the LEA chief administering officer to modify any expulsion for a firearm violation on a case-by-case basis (for example, by shortening the expulsion to less than one year). One purpose of this provision is to allow the chief administering officer in a school district to take unique circumstances into account as well as to ensure that the IDEA and GFSA requirements are implemented consistently. In order to capture these modifications, states were asked to report the number of students who had their period of expulsion shortened, as well as the number of these cases that were not for students with disabilities.</w:t>
      </w:r>
      <w:r>
        <w:br w:type="page"/>
      </w:r>
    </w:p>
    <w:p>
      <w:pPr>
        <w:pStyle w:val="Normal"/>
        <w:spacing w:lineRule="auto" w:line="240"/>
        <w:jc w:val="left"/>
        <w:rPr>
          <w:rFonts w:ascii="Arial" w:hAnsi="Arial" w:cs="Arial"/>
          <w:b/>
          <w:b/>
          <w:i/>
          <w:i/>
        </w:rPr>
      </w:pPr>
      <w:r>
        <w:rPr>
          <w:rFonts w:cs="Arial" w:ascii="Arial" w:hAnsi="Arial"/>
          <w:b/>
          <w:i/>
        </w:rPr>
        <w:t>Shortened Expulsions</w:t>
      </w:r>
    </w:p>
    <w:p>
      <w:pPr>
        <w:pStyle w:val="Normal"/>
        <w:spacing w:lineRule="atLeast" w:line="252"/>
        <w:jc w:val="left"/>
        <w:rPr>
          <w:rFonts w:ascii="Arial" w:hAnsi="Arial" w:cs="Arial"/>
          <w:b/>
          <w:b/>
          <w:i/>
          <w:i/>
          <w:spacing w:val="2"/>
        </w:rPr>
      </w:pPr>
      <w:r>
        <w:rPr>
          <w:rFonts w:cs="Arial" w:ascii="Arial" w:hAnsi="Arial"/>
          <w:b/>
          <w:i/>
          <w:spacing w:val="2"/>
        </w:rPr>
      </w:r>
    </w:p>
    <w:p>
      <w:pPr>
        <w:pStyle w:val="Normal"/>
        <w:spacing w:lineRule="auto" w:line="240"/>
        <w:jc w:val="left"/>
        <w:rPr/>
      </w:pPr>
      <w:r>
        <w:rPr/>
        <w:t>O</w:t>
      </w:r>
      <w:r>
        <w:rPr>
          <w:rFonts w:cs="Arial" w:ascii="Arial" w:hAnsi="Arial"/>
          <w:spacing w:val="2"/>
        </w:rPr>
        <w:t>f the 2,554 reported expulsions in the states and outlying areas, 936 (or 37 percent) were shortened to less than one year in 2001-2002 (see Figure 3 and Table 5).</w:t>
      </w:r>
    </w:p>
    <w:p>
      <w:pPr>
        <w:pStyle w:val="Normal"/>
        <w:spacing w:lineRule="auto" w:line="240"/>
        <w:jc w:val="left"/>
        <w:rPr>
          <w:rFonts w:ascii="Arial" w:hAnsi="Arial" w:cs="Arial"/>
          <w:spacing w:val="2"/>
        </w:rPr>
      </w:pPr>
      <w:r>
        <w:rPr>
          <w:rFonts w:cs="Arial" w:ascii="Arial" w:hAnsi="Arial"/>
          <w:spacing w:val="2"/>
        </w:rPr>
      </w:r>
    </w:p>
    <w:p>
      <w:pPr>
        <w:pStyle w:val="Normal"/>
        <w:spacing w:lineRule="auto" w:line="240"/>
        <w:jc w:val="left"/>
        <w:rPr>
          <w:rFonts w:ascii="Arial" w:hAnsi="Arial" w:cs="Arial"/>
          <w:spacing w:val="2"/>
        </w:rPr>
      </w:pPr>
      <w:r>
        <w:rPr>
          <w:rFonts w:cs="Arial" w:ascii="Arial" w:hAnsi="Arial"/>
          <w:spacing w:val="2"/>
        </w:rPr>
        <w:t>The percentage of expulsions that were shortened has fluctuated over the last five years from a high of 44 percent in 1997-1998 down to a low of 27 percent in 1998-1999 and 1999-2000 (see Figure 4).</w:t>
      </w:r>
    </w:p>
    <w:p>
      <w:pPr>
        <w:pStyle w:val="Normal"/>
        <w:spacing w:lineRule="atLeast" w:line="144"/>
        <w:jc w:val="left"/>
        <w:rPr>
          <w:rFonts w:ascii="Arial" w:hAnsi="Arial" w:cs="Arial"/>
          <w:b/>
          <w:b/>
          <w:spacing w:val="-2"/>
          <w:lang w:val="en-US" w:eastAsia="en-US"/>
        </w:rPr>
      </w:pPr>
      <w:r>
        <w:rPr>
          <w:rFonts w:cs="Arial" w:ascii="Arial" w:hAnsi="Arial"/>
          <w:b/>
          <w:spacing w:val="-2"/>
          <w:lang w:val="en-US" w:eastAsia="en-US"/>
        </w:rPr>
        <w:object w:dxaOrig="14400" w:dyaOrig="10800">
          <v:shape id="ole_rId11" style="width:274pt;height:206pt" o:ole="">
            <v:imagedata r:id="rId12" o:title=""/>
          </v:shape>
          <o:OLEObject Type="Embed" ProgID="PowerPoint.Show.12" ShapeID="ole_rId11" DrawAspect="Content" ObjectID="_692151354" r:id="rId11"/>
        </w:object>
        <w:object w:dxaOrig="14400" w:dyaOrig="10800">
          <v:shape id="ole_rId13" style="width:274pt;height:206pt" o:ole="">
            <v:imagedata r:id="rId14" o:title=""/>
          </v:shape>
          <o:OLEObject Type="Embed" ProgID="PowerPoint.Show.12" ShapeID="ole_rId13" DrawAspect="Content" ObjectID="_1445578327" r:id="rId13"/>
        </w:object>
      </w:r>
    </w:p>
    <w:p>
      <w:pPr>
        <w:pStyle w:val="Heading8"/>
        <w:rPr>
          <w:rFonts w:ascii="Arial" w:hAnsi="Arial" w:cs="Arial"/>
          <w:b w:val="false"/>
          <w:b w:val="false"/>
          <w:spacing w:val="-2"/>
        </w:rPr>
      </w:pPr>
      <w:r>
        <w:rPr>
          <w:rFonts w:cs="Arial"/>
          <w:b w:val="false"/>
          <w:spacing w:val="-2"/>
        </w:rPr>
      </w:r>
    </w:p>
    <w:p>
      <w:pPr>
        <w:pStyle w:val="Normal"/>
        <w:rPr/>
      </w:pPr>
      <w:r>
        <w:rPr/>
      </w:r>
    </w:p>
    <w:p>
      <w:pPr>
        <w:pStyle w:val="Heading8"/>
        <w:rPr>
          <w:i w:val="false"/>
          <w:i w:val="false"/>
        </w:rPr>
      </w:pPr>
      <w:r>
        <w:rPr/>
        <w:t>Disability Status of Students with Shortened Expulsions</w:t>
      </w:r>
    </w:p>
    <w:p>
      <w:pPr>
        <w:pStyle w:val="Normal"/>
        <w:jc w:val="left"/>
        <w:rPr>
          <w:rFonts w:ascii="Arial" w:hAnsi="Arial" w:cs="Arial"/>
          <w:i/>
          <w:i/>
          <w:spacing w:val="2"/>
        </w:rPr>
      </w:pPr>
      <w:r>
        <w:rPr>
          <w:rFonts w:cs="Arial" w:ascii="Arial" w:hAnsi="Arial"/>
          <w:i/>
          <w:spacing w:val="2"/>
        </w:rPr>
      </w:r>
    </w:p>
    <w:p>
      <w:pPr>
        <w:pStyle w:val="CTContractInformation"/>
        <w:tabs>
          <w:tab w:val="clear" w:pos="1958"/>
        </w:tabs>
        <w:bidi w:val="0"/>
        <w:spacing w:lineRule="auto" w:line="240"/>
        <w:jc w:val="left"/>
        <w:rPr/>
      </w:pPr>
      <w:r>
        <w:rPr/>
        <w:t>O</w:t>
      </w:r>
      <w:r>
        <w:rPr>
          <w:rFonts w:cs="Arial" w:ascii="Arial" w:hAnsi="Arial"/>
          <w:vanish w:val="false"/>
          <w:spacing w:val="2"/>
        </w:rPr>
        <w:t>f the 936 students whose expulsions were shortened, 722 (77 percent) were not considered disabled under Sec. 602(a)(1) of IDEA (see Figure 5 and Table 6).</w:t>
      </w:r>
    </w:p>
    <w:p>
      <w:pPr>
        <w:pStyle w:val="Normal"/>
        <w:spacing w:lineRule="auto" w:line="240"/>
        <w:jc w:val="left"/>
        <w:rPr>
          <w:rFonts w:ascii="Arial" w:hAnsi="Arial" w:cs="Arial"/>
          <w:vanish w:val="false"/>
          <w:spacing w:val="2"/>
        </w:rPr>
      </w:pPr>
      <w:r>
        <w:rPr>
          <w:rFonts w:cs="Arial" w:ascii="Arial" w:hAnsi="Arial"/>
          <w:vanish w:val="false"/>
          <w:spacing w:val="2"/>
        </w:rPr>
      </w:r>
    </w:p>
    <w:p>
      <w:pPr>
        <w:pStyle w:val="Normal"/>
        <w:spacing w:lineRule="auto" w:line="240"/>
        <w:jc w:val="left"/>
        <w:rPr>
          <w:rFonts w:ascii="Arial" w:hAnsi="Arial" w:cs="Arial"/>
          <w:spacing w:val="2"/>
        </w:rPr>
      </w:pPr>
      <w:r>
        <w:rPr>
          <w:rFonts w:cs="Arial" w:ascii="Arial" w:hAnsi="Arial"/>
          <w:spacing w:val="2"/>
        </w:rPr>
        <w:t>The reported percentage of shortened expulsions that were for students with disabilities for 2001-2002 (23 percent) decreased slightly from previous years (see Figure 6).</w:t>
      </w:r>
    </w:p>
    <w:p>
      <w:pPr>
        <w:pStyle w:val="Normal"/>
        <w:spacing w:lineRule="auto" w:line="240"/>
        <w:jc w:val="left"/>
        <w:rPr>
          <w:rFonts w:ascii="Arial" w:hAnsi="Arial" w:cs="Arial"/>
          <w:spacing w:val="2"/>
        </w:rPr>
      </w:pPr>
      <w:r>
        <w:rPr>
          <w:rFonts w:cs="Arial" w:ascii="Arial" w:hAnsi="Arial"/>
          <w:spacing w:val="2"/>
        </w:rPr>
      </w:r>
    </w:p>
    <w:p>
      <w:pPr>
        <w:pStyle w:val="Normal"/>
        <w:numPr>
          <w:ilvl w:val="0"/>
          <w:numId w:val="0"/>
        </w:numPr>
        <w:spacing w:lineRule="auto" w:line="240"/>
        <w:jc w:val="left"/>
        <w:rPr/>
      </w:pPr>
      <w:r>
        <w:rPr/>
        <w:object w:dxaOrig="14400" w:dyaOrig="10800">
          <v:shape id="ole_rId15" style="width:274pt;height:206pt" o:ole="">
            <v:imagedata r:id="rId16" o:title=""/>
          </v:shape>
          <o:OLEObject Type="Embed" ProgID="PowerPoint.Show.12" ShapeID="ole_rId15" DrawAspect="Content" ObjectID="_2037083830" r:id="rId15"/>
        </w:object>
        <w:object w:dxaOrig="14400" w:dyaOrig="10800">
          <v:shape id="ole_rId17" style="width:274pt;height:206pt" o:ole="">
            <v:imagedata r:id="rId18" o:title=""/>
          </v:shape>
          <o:OLEObject Type="Embed" ProgID="PowerPoint.Show.12" ShapeID="ole_rId17" DrawAspect="Content" ObjectID="_1060827220" r:id="rId17"/>
        </w:object>
      </w:r>
      <w:r>
        <w:br w:type="page"/>
      </w:r>
    </w:p>
    <w:p>
      <w:pPr>
        <w:pStyle w:val="Normal"/>
        <w:spacing w:lineRule="auto" w:line="240"/>
        <w:jc w:val="left"/>
        <w:rPr>
          <w:rFonts w:ascii="Arial" w:hAnsi="Arial" w:cs="Arial"/>
          <w:spacing w:val="2"/>
        </w:rPr>
      </w:pPr>
      <w:r>
        <w:rPr>
          <w:rFonts w:cs="Arial" w:ascii="Arial" w:hAnsi="Arial"/>
          <w:spacing w:val="2"/>
        </w:rPr>
      </w:r>
    </w:p>
    <w:p>
      <w:pPr>
        <w:pStyle w:val="Normal"/>
        <w:pBdr>
          <w:top w:val="threeDEmboss" w:sz="12" w:space="1" w:color="000000"/>
        </w:pBdr>
        <w:spacing w:lineRule="auto" w:line="240"/>
        <w:jc w:val="left"/>
        <w:rPr>
          <w:rFonts w:ascii="Arial" w:hAnsi="Arial" w:cs="Arial"/>
        </w:rPr>
      </w:pPr>
      <w:r>
        <w:rPr>
          <w:rFonts w:cs="Arial" w:ascii="Arial" w:hAnsi="Arial"/>
          <w:b/>
          <w:spacing w:val="2"/>
        </w:rPr>
        <w:t>Referrals</w:t>
      </w:r>
    </w:p>
    <w:p>
      <w:pPr>
        <w:pStyle w:val="Normal"/>
        <w:spacing w:lineRule="auto" w:line="240"/>
        <w:jc w:val="left"/>
        <w:rPr>
          <w:rFonts w:ascii="Arial" w:hAnsi="Arial" w:cs="Arial"/>
        </w:rPr>
      </w:pPr>
      <w:r>
        <w:rPr>
          <w:rFonts w:cs="Arial" w:ascii="Arial" w:hAnsi="Arial"/>
        </w:rPr>
      </w:r>
    </w:p>
    <w:p>
      <w:pPr>
        <w:pStyle w:val="Normal"/>
        <w:spacing w:lineRule="auto" w:line="240"/>
        <w:jc w:val="left"/>
        <w:rPr>
          <w:rFonts w:ascii="Arial" w:hAnsi="Arial" w:cs="Arial"/>
        </w:rPr>
      </w:pPr>
      <w:r>
        <w:rPr/>
        <w:t>T</w:t>
      </w:r>
      <w:r>
        <w:rPr>
          <w:rFonts w:cs="Arial" w:ascii="Arial" w:hAnsi="Arial"/>
        </w:rPr>
        <w:t>he GFSA has in place provisions that allow local officials to refer expelled students to an alternative school or program. Fifty-four</w:t>
      </w:r>
      <w:r>
        <w:rPr>
          <w:rStyle w:val="FootnoteCharacters"/>
          <w:rStyle w:val="FootnoteAnchor"/>
          <w:rFonts w:cs="Arial" w:ascii="Arial" w:hAnsi="Arial"/>
        </w:rPr>
        <w:footnoteReference w:id="7"/>
      </w:r>
      <w:r>
        <w:rPr>
          <w:rFonts w:cs="Arial" w:ascii="Arial" w:hAnsi="Arial"/>
        </w:rPr>
        <w:t xml:space="preserve"> states and outlying areas reported information for this data item, and among these states and outlying areas 964 students (39 percent) were referred for an alternative placement (see Figure 7 and Table 7).</w:t>
      </w:r>
      <w:r>
        <w:rPr/>
        <w:t xml:space="preserve"> </w:t>
      </w:r>
    </w:p>
    <w:p>
      <w:pPr>
        <w:pStyle w:val="Normal"/>
        <w:spacing w:lineRule="auto" w:line="240"/>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t>The percentage of students that were expelled for having brought a firearm to school and referred to an alternative school or program remained fairly steady from 1997-1998 through 2000-2001 but dropped for 2001-2002 (see Figure 8).</w:t>
      </w:r>
    </w:p>
    <w:p>
      <w:pPr>
        <w:pStyle w:val="Normal"/>
        <w:jc w:val="left"/>
        <w:rPr>
          <w:rFonts w:ascii="Arial" w:hAnsi="Arial" w:cs="Arial"/>
          <w:lang w:val="en-US" w:eastAsia="en-US"/>
        </w:rPr>
      </w:pPr>
      <w:r>
        <w:rPr>
          <w:rFonts w:cs="Arial" w:ascii="Arial" w:hAnsi="Arial"/>
          <w:lang w:val="en-US" w:eastAsia="en-US"/>
        </w:rPr>
        <w:object w:dxaOrig="14400" w:dyaOrig="10800">
          <v:shape id="ole_rId19" style="width:274pt;height:206pt" o:ole="">
            <v:imagedata r:id="rId20" o:title=""/>
          </v:shape>
          <o:OLEObject Type="Embed" ProgID="PowerPoint.Show.12" ShapeID="ole_rId19" DrawAspect="Content" ObjectID="_1124180851" r:id="rId19"/>
        </w:object>
      </w:r>
    </w:p>
    <w:p>
      <w:pPr>
        <w:pStyle w:val="Normal"/>
        <w:jc w:val="left"/>
        <w:rPr>
          <w:rFonts w:ascii="Arial" w:hAnsi="Arial" w:cs="Arial"/>
          <w:lang w:val="en-US" w:eastAsia="en-US"/>
        </w:rPr>
      </w:pPr>
      <w:r>
        <w:rPr>
          <w:rFonts w:cs="Arial" w:ascii="Arial" w:hAnsi="Arial"/>
          <w:lang w:val="en-US" w:eastAsia="en-US"/>
        </w:rPr>
        <w:object w:dxaOrig="14400" w:dyaOrig="10800">
          <v:shape id="ole_rId21" style="width:274pt;height:206pt" o:ole="">
            <v:imagedata r:id="rId22" o:title=""/>
          </v:shape>
          <o:OLEObject Type="Embed" ProgID="PowerPoint.Show.12" ShapeID="ole_rId21" DrawAspect="Content" ObjectID="_558677043" r:id="rId21"/>
        </w:object>
      </w:r>
    </w:p>
    <w:p>
      <w:pPr>
        <w:pStyle w:val="Normal"/>
        <w:spacing w:lineRule="auto" w:line="240"/>
        <w:jc w:val="left"/>
        <w:rPr>
          <w:rFonts w:ascii="Arial" w:hAnsi="Arial" w:cs="Arial"/>
        </w:rPr>
      </w:pPr>
      <w:r>
        <w:rPr>
          <w:rFonts w:cs="Arial" w:ascii="Arial" w:hAnsi="Arial"/>
        </w:rPr>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t>GFSA Report Submissions</w:t>
      </w:r>
    </w:p>
    <w:p>
      <w:pPr>
        <w:pStyle w:val="Normal"/>
        <w:pBdr>
          <w:top w:val="threeDEngrave" w:sz="12" w:space="1" w:color="000000"/>
        </w:pBdr>
        <w:spacing w:lineRule="auto" w:line="240"/>
        <w:jc w:val="left"/>
        <w:rPr>
          <w:rFonts w:ascii="Arial" w:hAnsi="Arial" w:cs="Arial"/>
          <w:b/>
          <w:b/>
          <w:spacing w:val="2"/>
        </w:rPr>
      </w:pPr>
      <w:r>
        <w:rPr>
          <w:rFonts w:cs="Arial" w:ascii="Arial" w:hAnsi="Arial"/>
          <w:b/>
          <w:spacing w:val="2"/>
        </w:rPr>
      </w:r>
    </w:p>
    <w:p>
      <w:pPr>
        <w:pStyle w:val="Normal"/>
        <w:spacing w:lineRule="auto" w:line="240"/>
        <w:jc w:val="left"/>
        <w:rPr/>
      </w:pPr>
      <w:r>
        <w:rPr/>
        <w:t>S</w:t>
      </w:r>
      <w:r>
        <w:rPr>
          <w:rFonts w:cs="Arial" w:ascii="Arial" w:hAnsi="Arial"/>
        </w:rPr>
        <w:t>tarting with the 1999-2000 school year, states and outlying areas were asked to report information regarding the level of LEA compliance. Additionally, they were asked to indicate the percentage of LEAs that reported an expulsion.</w:t>
      </w:r>
    </w:p>
    <w:p>
      <w:pPr>
        <w:pStyle w:val="Normal"/>
        <w:spacing w:lineRule="auto" w:line="240"/>
        <w:jc w:val="left"/>
        <w:rPr>
          <w:rFonts w:ascii="Arial" w:hAnsi="Arial" w:cs="Arial"/>
        </w:rPr>
      </w:pPr>
      <w:r>
        <w:rPr>
          <w:rFonts w:cs="Arial" w:ascii="Arial" w:hAnsi="Arial"/>
        </w:rPr>
      </w:r>
    </w:p>
    <w:p>
      <w:pPr>
        <w:pStyle w:val="Normal"/>
        <w:spacing w:lineRule="auto" w:line="240"/>
        <w:jc w:val="left"/>
        <w:rPr>
          <w:rFonts w:ascii="Arial" w:hAnsi="Arial" w:cs="Arial"/>
        </w:rPr>
      </w:pPr>
      <w:r>
        <w:rPr>
          <w:rFonts w:cs="Arial" w:ascii="Arial" w:hAnsi="Arial"/>
        </w:rPr>
        <w:t>Most states and outlying areas indicated virtually all of their LEAs had submitted GFSA reports. Any issues surrounding noncompliance with the GFSA will be addressed by the Department, accordingly.</w:t>
      </w:r>
    </w:p>
    <w:p>
      <w:pPr>
        <w:sectPr>
          <w:footerReference w:type="default" r:id="rId23"/>
          <w:footnotePr>
            <w:numFmt w:val="decimal"/>
          </w:footnotePr>
          <w:type w:val="nextPage"/>
          <w:pgSz w:w="12240" w:h="15840"/>
          <w:pgMar w:left="1627" w:right="1440" w:header="0" w:top="864" w:footer="576" w:bottom="1152" w:gutter="0"/>
          <w:pgNumType w:fmt="decimal"/>
          <w:formProt w:val="false"/>
          <w:textDirection w:val="lrTb"/>
          <w:docGrid w:type="default" w:linePitch="360" w:charSpace="0"/>
        </w:sectPr>
        <w:pStyle w:val="Normal"/>
        <w:spacing w:lineRule="auto" w:line="240"/>
        <w:jc w:val="left"/>
        <w:rPr>
          <w:rFonts w:ascii="Arial" w:hAnsi="Arial" w:cs="Arial"/>
        </w:rPr>
      </w:pPr>
      <w:r>
        <w:rPr>
          <w:rFonts w:cs="Arial" w:ascii="Arial" w:hAnsi="Arial"/>
        </w:rPr>
      </w:r>
    </w:p>
    <w:p>
      <w:pPr>
        <w:pStyle w:val="Normal"/>
        <w:rPr>
          <w:rFonts w:ascii="Arial" w:hAnsi="Arial" w:cs="Arial"/>
          <w:b/>
          <w:b/>
          <w:bCs/>
          <w:sz w:val="20"/>
        </w:rPr>
      </w:pPr>
      <w:r>
        <w:rPr>
          <w:rFonts w:cs="Arial" w:ascii="Arial" w:hAnsi="Arial"/>
          <w:b/>
          <w:bCs/>
          <w:sz w:val="20"/>
        </w:rPr>
        <w:t>Table 1</w:t>
      </w:r>
    </w:p>
    <w:p>
      <w:pPr>
        <w:pStyle w:val="Normal"/>
        <w:rPr>
          <w:rFonts w:ascii="Arial" w:hAnsi="Arial" w:cs="Arial"/>
          <w:sz w:val="20"/>
        </w:rPr>
      </w:pPr>
      <w:r>
        <w:rPr>
          <w:rFonts w:cs="Arial" w:ascii="Arial" w:hAnsi="Arial"/>
          <w:sz w:val="20"/>
        </w:rPr>
        <w:t>Number of students found to have brought a firearm to school, 2001-2002 and GFSA violations per 1,000 students of public elementary and secondary enrollment, Fall 2001</w:t>
      </w:r>
    </w:p>
    <w:p>
      <w:pPr>
        <w:pStyle w:val="Normal"/>
        <w:rPr>
          <w:rFonts w:ascii="Arial" w:hAnsi="Arial" w:cs="Arial"/>
          <w:bCs/>
          <w:sz w:val="20"/>
        </w:rPr>
      </w:pPr>
      <w:r>
        <w:rPr>
          <w:rFonts w:cs="Arial" w:ascii="Arial" w:hAnsi="Arial"/>
          <w:bCs/>
          <w:sz w:val="20"/>
        </w:rPr>
      </w:r>
    </w:p>
    <w:tbl>
      <w:tblPr>
        <w:tblW w:w="8020" w:type="dxa"/>
        <w:jc w:val="left"/>
        <w:tblInd w:w="463" w:type="dxa"/>
        <w:tblCellMar>
          <w:top w:w="0" w:type="dxa"/>
          <w:left w:w="108" w:type="dxa"/>
          <w:bottom w:w="0" w:type="dxa"/>
          <w:right w:w="108" w:type="dxa"/>
        </w:tblCellMar>
      </w:tblPr>
      <w:tblGrid>
        <w:gridCol w:w="1747"/>
        <w:gridCol w:w="1853"/>
        <w:gridCol w:w="2520"/>
        <w:gridCol w:w="1895"/>
        <w:gridCol w:w="5"/>
      </w:tblGrid>
      <w:tr>
        <w:trPr/>
        <w:tc>
          <w:tcPr>
            <w:tcW w:w="1747" w:type="dxa"/>
            <w:tcBorders>
              <w:top w:val="single" w:sz="4" w:space="0" w:color="000000"/>
              <w:left w:val="single" w:sz="4" w:space="0" w:color="000000"/>
              <w:bottom w:val="single" w:sz="4" w:space="0" w:color="000000"/>
            </w:tcBorders>
            <w:vAlign w:val="bottom"/>
          </w:tcPr>
          <w:p>
            <w:pPr>
              <w:pStyle w:val="Normal"/>
              <w:spacing w:lineRule="auto" w:line="240"/>
              <w:jc w:val="left"/>
              <w:rPr>
                <w:rFonts w:ascii="Arial" w:hAnsi="Arial" w:cs="Arial"/>
                <w:b/>
                <w:b/>
                <w:bCs/>
                <w:sz w:val="16"/>
                <w:szCs w:val="16"/>
              </w:rPr>
            </w:pPr>
            <w:r>
              <w:rPr>
                <w:rFonts w:cs="Arial" w:ascii="Arial" w:hAnsi="Arial"/>
                <w:b/>
                <w:bCs/>
                <w:sz w:val="16"/>
                <w:szCs w:val="16"/>
              </w:rPr>
              <w:t>State/Outlying Area</w:t>
            </w:r>
          </w:p>
        </w:tc>
        <w:tc>
          <w:tcPr>
            <w:tcW w:w="1853"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Number of s4tudents expelled in 2001-2002</w:t>
            </w:r>
          </w:p>
        </w:tc>
        <w:tc>
          <w:tcPr>
            <w:tcW w:w="252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 xml:space="preserve">Public elementary/secondary enrollment* </w:t>
            </w:r>
          </w:p>
        </w:tc>
        <w:tc>
          <w:tcPr>
            <w:tcW w:w="190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Expelled students per 1,000 of enrollment</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Alabama</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138</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726,367</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0.190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Alaska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55</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134,023</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0.410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Arizona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124</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903,518</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0.137</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Arkansas</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80</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448,246</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0.178</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California</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104</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6,247,889</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0.017</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Colorado</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31</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742,065</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0.042</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Connecticut</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8</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570,145</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0.014</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Delaware</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3</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115,486</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0.026</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District of Columbia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3</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68,449</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0.044</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Florida</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51</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2,500,161</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0.020</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Georgia</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119</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1,470,634</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0.081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Hawaii</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7</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184,546</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0.038</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Idaho</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21</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246,000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0.085</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Illinois</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53</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2,068,182</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0.026</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Indiana</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41</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994,545</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0.041</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Iowa</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9</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491,169</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0.018</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Kansas</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32</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468,140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0.068</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Kentucky</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46</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630,461</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0.073</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Louisiana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75</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731,474</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0.103</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Maine</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211,461</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0.009</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Maryland</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21</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860,890</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0.024</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Massachusetts</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89</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979,593</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0.091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Michigan</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46</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1,733,900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0.027</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Minnesota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23</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845,700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0.027</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Mississippi</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67</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491,686</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0.136</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Missouri</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59</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892,582</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0.066</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Montana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31</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151,970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0.204</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Nebraska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6</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285,022</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0.021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Nevada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56</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356,038</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0.157</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Hampshire</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0</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211,429</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0.000</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Jersey</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16</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1,380,502</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0.012</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Mexico</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20</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316,143</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0.063</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York</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88</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2,920,000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0.030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 Carolina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92</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1,303,928</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0.071</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 Dakota</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4</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106,047</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0.038</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Ohio</w:t>
            </w:r>
          </w:p>
        </w:tc>
        <w:tc>
          <w:tcPr>
            <w:tcW w:w="1853" w:type="dxa"/>
            <w:tcBorders>
              <w:top w:val="single" w:sz="4" w:space="0" w:color="000000"/>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53</w:t>
            </w:r>
          </w:p>
        </w:tc>
        <w:tc>
          <w:tcPr>
            <w:tcW w:w="2520" w:type="dxa"/>
            <w:tcBorders>
              <w:top w:val="single" w:sz="4" w:space="0" w:color="000000"/>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1,808,000</w:t>
            </w:r>
          </w:p>
        </w:tc>
        <w:tc>
          <w:tcPr>
            <w:tcW w:w="1900" w:type="dxa"/>
            <w:tcBorders>
              <w:top w:val="single" w:sz="4" w:space="0" w:color="000000"/>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0.541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Oklahoma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60</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620,404</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0.097</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Oregon</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55</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552,144</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0.100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Pennsylvania</w:t>
            </w:r>
          </w:p>
        </w:tc>
        <w:tc>
          <w:tcPr>
            <w:tcW w:w="1853" w:type="dxa"/>
            <w:tcBorders>
              <w:left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36</w:t>
            </w:r>
          </w:p>
        </w:tc>
        <w:tc>
          <w:tcPr>
            <w:tcW w:w="2520" w:type="dxa"/>
            <w:tcBorders>
              <w:left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1,810,390</w:t>
            </w:r>
          </w:p>
        </w:tc>
        <w:tc>
          <w:tcPr>
            <w:tcW w:w="1900" w:type="dxa"/>
            <w:tcBorders>
              <w:left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0.020</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Puerto Rico</w:t>
            </w:r>
          </w:p>
        </w:tc>
        <w:tc>
          <w:tcPr>
            <w:tcW w:w="1853" w:type="dxa"/>
            <w:tcBorders>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4</w:t>
            </w:r>
          </w:p>
        </w:tc>
        <w:tc>
          <w:tcPr>
            <w:tcW w:w="2520" w:type="dxa"/>
            <w:tcBorders>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612,431</w:t>
            </w:r>
          </w:p>
        </w:tc>
        <w:tc>
          <w:tcPr>
            <w:tcW w:w="1900" w:type="dxa"/>
            <w:tcBorders>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0.007</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Rhode Island</w:t>
            </w:r>
          </w:p>
        </w:tc>
        <w:tc>
          <w:tcPr>
            <w:tcW w:w="1853" w:type="dxa"/>
            <w:tcBorders>
              <w:top w:val="single" w:sz="4" w:space="0" w:color="000000"/>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7</w:t>
            </w:r>
          </w:p>
        </w:tc>
        <w:tc>
          <w:tcPr>
            <w:tcW w:w="2520" w:type="dxa"/>
            <w:tcBorders>
              <w:top w:val="single" w:sz="4" w:space="0" w:color="000000"/>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157,599</w:t>
            </w:r>
          </w:p>
        </w:tc>
        <w:tc>
          <w:tcPr>
            <w:tcW w:w="1900" w:type="dxa"/>
            <w:tcBorders>
              <w:top w:val="single" w:sz="4" w:space="0" w:color="000000"/>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0.044</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South Carolina</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34</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648,000</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0.052</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South Dakota</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5</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126,560</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0.040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Tennessee</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80</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938,162</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0.085</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Texas</w:t>
            </w:r>
          </w:p>
        </w:tc>
        <w:tc>
          <w:tcPr>
            <w:tcW w:w="1853" w:type="dxa"/>
            <w:tcBorders>
              <w:left w:val="single" w:sz="2"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177</w:t>
            </w:r>
          </w:p>
        </w:tc>
        <w:tc>
          <w:tcPr>
            <w:tcW w:w="2520" w:type="dxa"/>
            <w:tcBorders>
              <w:left w:val="single" w:sz="2"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4,128,429</w:t>
            </w:r>
          </w:p>
        </w:tc>
        <w:tc>
          <w:tcPr>
            <w:tcW w:w="1900" w:type="dxa"/>
            <w:tcBorders>
              <w:left w:val="single" w:sz="2"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0.043</w:t>
            </w:r>
          </w:p>
        </w:tc>
      </w:tr>
      <w:tr>
        <w:trPr/>
        <w:tc>
          <w:tcPr>
            <w:tcW w:w="1747"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Utah</w:t>
            </w:r>
          </w:p>
        </w:tc>
        <w:tc>
          <w:tcPr>
            <w:tcW w:w="1853" w:type="dxa"/>
            <w:tcBorders>
              <w:top w:val="single" w:sz="4" w:space="0" w:color="000000"/>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83</w:t>
            </w:r>
          </w:p>
        </w:tc>
        <w:tc>
          <w:tcPr>
            <w:tcW w:w="2520" w:type="dxa"/>
            <w:tcBorders>
              <w:top w:val="single" w:sz="4" w:space="0" w:color="000000"/>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477,801</w:t>
            </w:r>
          </w:p>
        </w:tc>
        <w:tc>
          <w:tcPr>
            <w:tcW w:w="1900" w:type="dxa"/>
            <w:tcBorders>
              <w:top w:val="single" w:sz="4" w:space="0" w:color="000000"/>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0.174</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Vermont</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3</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99,599</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0.030</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Virginia</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197</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1,162,780</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0.169</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Washington</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92</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1,009,626</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0.091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West Virginia</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6</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281,400</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0.021</w:t>
            </w:r>
          </w:p>
        </w:tc>
      </w:tr>
      <w:tr>
        <w:trPr/>
        <w:tc>
          <w:tcPr>
            <w:tcW w:w="1747"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Wisconsin</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30</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878,809</w:t>
            </w:r>
          </w:p>
        </w:tc>
        <w:tc>
          <w:tcPr>
            <w:tcW w:w="1900" w:type="dxa"/>
            <w:tcBorders>
              <w:left w:val="single" w:sz="2"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0.034</w:t>
            </w:r>
          </w:p>
        </w:tc>
      </w:tr>
      <w:tr>
        <w:trPr/>
        <w:tc>
          <w:tcPr>
            <w:tcW w:w="1747"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Wyoming</w:t>
            </w:r>
          </w:p>
        </w:tc>
        <w:tc>
          <w:tcPr>
            <w:tcW w:w="1853" w:type="dxa"/>
            <w:tcBorders>
              <w:left w:val="single" w:sz="2"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7</w:t>
            </w:r>
          </w:p>
        </w:tc>
        <w:tc>
          <w:tcPr>
            <w:tcW w:w="2520" w:type="dxa"/>
            <w:tcBorders>
              <w:left w:val="single" w:sz="2"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87,768</w:t>
            </w:r>
          </w:p>
        </w:tc>
        <w:tc>
          <w:tcPr>
            <w:tcW w:w="1900" w:type="dxa"/>
            <w:tcBorders>
              <w:left w:val="single" w:sz="2"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0.080</w:t>
            </w:r>
          </w:p>
        </w:tc>
      </w:tr>
      <w:tr>
        <w:trPr/>
        <w:tc>
          <w:tcPr>
            <w:tcW w:w="1747" w:type="dxa"/>
            <w:tcBorders>
              <w:top w:val="single" w:sz="4" w:space="0" w:color="000000"/>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American Samoa</w:t>
            </w:r>
          </w:p>
        </w:tc>
        <w:tc>
          <w:tcPr>
            <w:tcW w:w="1853" w:type="dxa"/>
            <w:tcBorders>
              <w:top w:val="single" w:sz="4" w:space="0" w:color="000000"/>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0</w:t>
            </w:r>
          </w:p>
        </w:tc>
        <w:tc>
          <w:tcPr>
            <w:tcW w:w="2520" w:type="dxa"/>
            <w:tcBorders>
              <w:top w:val="single" w:sz="4" w:space="0" w:color="000000"/>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15,897</w:t>
            </w:r>
          </w:p>
        </w:tc>
        <w:tc>
          <w:tcPr>
            <w:tcW w:w="1895" w:type="dxa"/>
            <w:tcBorders>
              <w:top w:val="single" w:sz="4" w:space="0" w:color="000000"/>
              <w:left w:val="single" w:sz="2" w:space="0" w:color="000000"/>
              <w:right w:val="single" w:sz="2"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0.000</w:t>
            </w:r>
          </w:p>
        </w:tc>
      </w:tr>
      <w:tr>
        <w:trPr/>
        <w:tc>
          <w:tcPr>
            <w:tcW w:w="1747"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Guam</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1</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32,002</w:t>
            </w:r>
          </w:p>
        </w:tc>
        <w:tc>
          <w:tcPr>
            <w:tcW w:w="1895" w:type="dxa"/>
            <w:tcBorders>
              <w:left w:val="single" w:sz="2" w:space="0" w:color="000000"/>
              <w:right w:val="single" w:sz="2"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0.031</w:t>
            </w:r>
          </w:p>
        </w:tc>
      </w:tr>
      <w:tr>
        <w:trPr/>
        <w:tc>
          <w:tcPr>
            <w:tcW w:w="1747"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Northern Marianas</w:t>
            </w:r>
          </w:p>
        </w:tc>
        <w:tc>
          <w:tcPr>
            <w:tcW w:w="1853" w:type="dxa"/>
            <w:tcBorders>
              <w:left w:val="single" w:sz="2"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0</w:t>
            </w:r>
          </w:p>
        </w:tc>
        <w:tc>
          <w:tcPr>
            <w:tcW w:w="2520" w:type="dxa"/>
            <w:tcBorders>
              <w:left w:val="single" w:sz="2"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10,284</w:t>
            </w:r>
          </w:p>
        </w:tc>
        <w:tc>
          <w:tcPr>
            <w:tcW w:w="1895" w:type="dxa"/>
            <w:tcBorders>
              <w:left w:val="single" w:sz="2" w:space="0" w:color="000000"/>
              <w:right w:val="single" w:sz="2"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0.000</w:t>
            </w:r>
          </w:p>
        </w:tc>
      </w:tr>
      <w:tr>
        <w:trPr/>
        <w:tc>
          <w:tcPr>
            <w:tcW w:w="1747" w:type="dxa"/>
            <w:tcBorders>
              <w:left w:val="single" w:sz="2" w:space="0" w:color="000000"/>
              <w:bottom w:val="single" w:sz="8"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Virgin Islands</w:t>
            </w:r>
          </w:p>
        </w:tc>
        <w:tc>
          <w:tcPr>
            <w:tcW w:w="1853" w:type="dxa"/>
            <w:tcBorders>
              <w:left w:val="single" w:sz="2" w:space="0" w:color="000000"/>
              <w:bottom w:val="single" w:sz="8" w:space="0" w:color="000000"/>
            </w:tcBorders>
            <w:vAlign w:val="center"/>
          </w:tcPr>
          <w:p>
            <w:pPr>
              <w:pStyle w:val="Normal"/>
              <w:tabs>
                <w:tab w:val="clear" w:pos="720"/>
                <w:tab w:val="decimal" w:pos="903" w:leader="none"/>
              </w:tabs>
              <w:spacing w:lineRule="auto" w:line="240"/>
              <w:ind w:right="432" w:hanging="0"/>
              <w:rPr>
                <w:rFonts w:ascii="Arial" w:hAnsi="Arial" w:cs="Arial"/>
                <w:color w:val="000000"/>
                <w:sz w:val="16"/>
                <w:szCs w:val="16"/>
              </w:rPr>
            </w:pPr>
            <w:r>
              <w:rPr>
                <w:rFonts w:cs="Arial" w:ascii="Arial" w:hAnsi="Arial"/>
                <w:color w:val="000000"/>
                <w:sz w:val="16"/>
                <w:szCs w:val="16"/>
              </w:rPr>
              <w:t>4</w:t>
            </w:r>
          </w:p>
        </w:tc>
        <w:tc>
          <w:tcPr>
            <w:tcW w:w="2520" w:type="dxa"/>
            <w:tcBorders>
              <w:left w:val="single" w:sz="2" w:space="0" w:color="000000"/>
              <w:bottom w:val="single" w:sz="8" w:space="0" w:color="000000"/>
            </w:tcBorders>
            <w:vAlign w:val="center"/>
          </w:tcPr>
          <w:p>
            <w:pPr>
              <w:pStyle w:val="Normal"/>
              <w:tabs>
                <w:tab w:val="clear" w:pos="720"/>
                <w:tab w:val="decimal" w:pos="1422" w:leader="none"/>
              </w:tabs>
              <w:spacing w:lineRule="auto" w:line="240"/>
              <w:ind w:right="792" w:hanging="0"/>
              <w:rPr>
                <w:rFonts w:ascii="Arial" w:hAnsi="Arial" w:cs="Arial"/>
                <w:color w:val="000000"/>
                <w:sz w:val="16"/>
                <w:szCs w:val="16"/>
              </w:rPr>
            </w:pPr>
            <w:r>
              <w:rPr>
                <w:rFonts w:cs="Arial" w:ascii="Arial" w:hAnsi="Arial"/>
                <w:color w:val="000000"/>
                <w:sz w:val="16"/>
                <w:szCs w:val="16"/>
              </w:rPr>
              <w:t>18,148</w:t>
            </w:r>
          </w:p>
        </w:tc>
        <w:tc>
          <w:tcPr>
            <w:tcW w:w="1895" w:type="dxa"/>
            <w:tcBorders>
              <w:left w:val="single" w:sz="2" w:space="0" w:color="000000"/>
              <w:bottom w:val="single" w:sz="8" w:space="0" w:color="000000"/>
              <w:right w:val="single" w:sz="2" w:space="0" w:color="000000"/>
            </w:tcBorders>
            <w:vAlign w:val="center"/>
          </w:tcPr>
          <w:p>
            <w:pPr>
              <w:pStyle w:val="Normal"/>
              <w:tabs>
                <w:tab w:val="clear" w:pos="720"/>
                <w:tab w:val="decimal" w:pos="702" w:leader="none"/>
              </w:tabs>
              <w:spacing w:lineRule="auto" w:line="240"/>
              <w:rPr>
                <w:rFonts w:ascii="Arial" w:hAnsi="Arial" w:cs="Arial"/>
                <w:color w:val="000000"/>
                <w:sz w:val="16"/>
                <w:szCs w:val="16"/>
              </w:rPr>
            </w:pPr>
            <w:r>
              <w:rPr>
                <w:rFonts w:cs="Arial" w:ascii="Arial" w:hAnsi="Arial"/>
                <w:color w:val="000000"/>
                <w:sz w:val="16"/>
                <w:szCs w:val="16"/>
              </w:rPr>
              <w:t>0.220</w:t>
            </w:r>
          </w:p>
        </w:tc>
      </w:tr>
      <w:tr>
        <w:trPr/>
        <w:tc>
          <w:tcPr>
            <w:tcW w:w="1747" w:type="dxa"/>
            <w:tcBorders>
              <w:top w:val="single" w:sz="8" w:space="0" w:color="000000"/>
              <w:left w:val="single" w:sz="4" w:space="0" w:color="000000"/>
              <w:bottom w:val="single" w:sz="4" w:space="0" w:color="000000"/>
            </w:tcBorders>
            <w:vAlign w:val="center"/>
          </w:tcPr>
          <w:p>
            <w:pPr>
              <w:pStyle w:val="Normal"/>
              <w:spacing w:lineRule="auto" w:line="240"/>
              <w:rPr>
                <w:rFonts w:ascii="Arial" w:hAnsi="Arial" w:cs="Arial"/>
                <w:sz w:val="16"/>
                <w:szCs w:val="16"/>
              </w:rPr>
            </w:pPr>
            <w:r>
              <w:rPr>
                <w:rFonts w:cs="Arial" w:ascii="Arial" w:hAnsi="Arial"/>
                <w:sz w:val="16"/>
                <w:szCs w:val="16"/>
              </w:rPr>
              <w:t>Total</w:t>
            </w:r>
          </w:p>
        </w:tc>
        <w:tc>
          <w:tcPr>
            <w:tcW w:w="1853" w:type="dxa"/>
            <w:tcBorders>
              <w:top w:val="single" w:sz="8" w:space="0" w:color="000000"/>
              <w:left w:val="single" w:sz="4" w:space="0" w:color="000000"/>
              <w:bottom w:val="single" w:sz="4" w:space="0" w:color="000000"/>
            </w:tcBorders>
            <w:vAlign w:val="center"/>
          </w:tcPr>
          <w:p>
            <w:pPr>
              <w:pStyle w:val="Normal"/>
              <w:tabs>
                <w:tab w:val="clear" w:pos="720"/>
                <w:tab w:val="decimal" w:pos="903" w:leader="none"/>
              </w:tabs>
              <w:spacing w:lineRule="auto" w:line="240"/>
              <w:ind w:right="432" w:hanging="0"/>
              <w:rPr>
                <w:rFonts w:ascii="Arial" w:hAnsi="Arial" w:cs="Arial"/>
                <w:sz w:val="16"/>
                <w:szCs w:val="16"/>
              </w:rPr>
            </w:pPr>
            <w:r>
              <w:rPr>
                <w:rFonts w:cs="Arial" w:ascii="Arial" w:hAnsi="Arial"/>
                <w:sz w:val="16"/>
                <w:szCs w:val="16"/>
              </w:rPr>
              <w:t>2,554</w:t>
            </w:r>
          </w:p>
        </w:tc>
        <w:tc>
          <w:tcPr>
            <w:tcW w:w="2520" w:type="dxa"/>
            <w:tcBorders>
              <w:top w:val="single" w:sz="8" w:space="0" w:color="000000"/>
              <w:left w:val="single" w:sz="4" w:space="0" w:color="000000"/>
              <w:bottom w:val="single" w:sz="4" w:space="0" w:color="000000"/>
            </w:tcBorders>
            <w:vAlign w:val="center"/>
          </w:tcPr>
          <w:p>
            <w:pPr>
              <w:pStyle w:val="Normal"/>
              <w:tabs>
                <w:tab w:val="clear" w:pos="720"/>
                <w:tab w:val="decimal" w:pos="1422" w:leader="none"/>
              </w:tabs>
              <w:spacing w:lineRule="auto" w:line="240"/>
              <w:ind w:right="792" w:hanging="0"/>
              <w:rPr>
                <w:rFonts w:ascii="Arial" w:hAnsi="Arial" w:cs="Arial"/>
                <w:sz w:val="16"/>
                <w:szCs w:val="16"/>
              </w:rPr>
            </w:pPr>
            <w:r>
              <w:rPr>
                <w:rFonts w:cs="Arial" w:ascii="Arial" w:hAnsi="Arial"/>
                <w:sz w:val="16"/>
                <w:szCs w:val="16"/>
              </w:rPr>
              <w:t>48,264,624</w:t>
            </w:r>
          </w:p>
        </w:tc>
        <w:tc>
          <w:tcPr>
            <w:tcW w:w="1900" w:type="dxa"/>
            <w:tcBorders>
              <w:top w:val="single" w:sz="8" w:space="0" w:color="000000"/>
              <w:left w:val="single" w:sz="4" w:space="0" w:color="000000"/>
              <w:bottom w:val="single" w:sz="4" w:space="0" w:color="000000"/>
              <w:right w:val="single" w:sz="4" w:space="0" w:color="000000"/>
            </w:tcBorders>
            <w:vAlign w:val="center"/>
          </w:tcPr>
          <w:p>
            <w:pPr>
              <w:pStyle w:val="Normal"/>
              <w:tabs>
                <w:tab w:val="clear" w:pos="720"/>
                <w:tab w:val="decimal" w:pos="702" w:leader="none"/>
              </w:tabs>
              <w:spacing w:lineRule="auto" w:line="240"/>
              <w:rPr>
                <w:rFonts w:ascii="Arial" w:hAnsi="Arial" w:cs="Arial"/>
                <w:sz w:val="16"/>
                <w:szCs w:val="16"/>
              </w:rPr>
            </w:pPr>
            <w:r>
              <w:rPr>
                <w:rFonts w:cs="Arial" w:ascii="Arial" w:hAnsi="Arial"/>
                <w:sz w:val="16"/>
                <w:szCs w:val="16"/>
              </w:rPr>
              <w:t>0.053</w:t>
            </w:r>
          </w:p>
        </w:tc>
      </w:tr>
    </w:tbl>
    <w:p>
      <w:pPr>
        <w:pStyle w:val="Normal"/>
        <w:rPr>
          <w:rFonts w:ascii="Arial" w:hAnsi="Arial" w:cs="Arial"/>
          <w:b/>
          <w:b/>
          <w:bCs/>
          <w:sz w:val="18"/>
          <w:szCs w:val="18"/>
        </w:rPr>
      </w:pPr>
      <w:r>
        <w:rPr>
          <w:rFonts w:cs="Arial" w:ascii="Arial" w:hAnsi="Arial"/>
          <w:b/>
          <w:bCs/>
          <w:sz w:val="18"/>
          <w:szCs w:val="18"/>
        </w:rPr>
      </w:r>
    </w:p>
    <w:p>
      <w:pPr>
        <w:pStyle w:val="Normal"/>
        <w:rPr>
          <w:rFonts w:ascii="Arial" w:hAnsi="Arial" w:cs="Arial"/>
          <w:sz w:val="18"/>
          <w:szCs w:val="18"/>
        </w:rPr>
      </w:pPr>
      <w:r>
        <w:rPr>
          <w:rFonts w:cs="Arial" w:ascii="Arial" w:hAnsi="Arial"/>
          <w:b/>
          <w:bCs/>
          <w:sz w:val="18"/>
          <w:szCs w:val="18"/>
        </w:rPr>
        <w:t>Data Notes:</w:t>
      </w:r>
    </w:p>
    <w:p>
      <w:pPr>
        <w:pStyle w:val="Normal"/>
        <w:jc w:val="left"/>
        <w:rPr>
          <w:rFonts w:ascii="Arial" w:hAnsi="Arial" w:cs="Arial"/>
          <w:sz w:val="18"/>
          <w:szCs w:val="18"/>
        </w:rPr>
      </w:pPr>
      <w:r>
        <w:rPr>
          <w:rFonts w:cs="Arial" w:ascii="Arial" w:hAnsi="Arial"/>
          <w:sz w:val="18"/>
          <w:szCs w:val="18"/>
        </w:rPr>
        <w:t>*The 2001 public enrollment numbers shown in this table are estimates provided by state education agencies to the Common Core of Data Surveys done by the National Center for Education Statistics.  The final fall 2001 figures may differ slightly.</w:t>
      </w:r>
      <w:r>
        <w:br w:type="page"/>
      </w:r>
    </w:p>
    <w:p>
      <w:pPr>
        <w:pStyle w:val="Normal"/>
        <w:rPr>
          <w:rFonts w:ascii="Arial" w:hAnsi="Arial" w:cs="Arial"/>
          <w:color w:val="000000"/>
          <w:sz w:val="20"/>
        </w:rPr>
      </w:pPr>
      <w:r>
        <w:rPr>
          <w:rFonts w:cs="Arial" w:ascii="Arial" w:hAnsi="Arial"/>
          <w:b/>
          <w:bCs/>
          <w:sz w:val="20"/>
        </w:rPr>
        <w:t>Table 2</w:t>
      </w:r>
    </w:p>
    <w:p>
      <w:pPr>
        <w:pStyle w:val="Normal"/>
        <w:spacing w:lineRule="auto" w:line="240"/>
        <w:rPr>
          <w:rFonts w:ascii="Arial" w:hAnsi="Arial" w:cs="Arial"/>
          <w:sz w:val="20"/>
        </w:rPr>
      </w:pPr>
      <w:r>
        <w:rPr>
          <w:rFonts w:cs="Arial" w:ascii="Arial" w:hAnsi="Arial"/>
          <w:sz w:val="20"/>
        </w:rPr>
        <w:t>Number of students found to have brought a firearm to school, by school level, 2001-2002</w:t>
      </w:r>
    </w:p>
    <w:p>
      <w:pPr>
        <w:pStyle w:val="Normal"/>
        <w:spacing w:lineRule="auto" w:line="240"/>
        <w:ind w:left="360" w:hanging="0"/>
        <w:rPr>
          <w:rFonts w:ascii="Arial" w:hAnsi="Arial" w:cs="Arial"/>
          <w:color w:val="000000"/>
          <w:sz w:val="20"/>
        </w:rPr>
      </w:pPr>
      <w:r>
        <w:rPr>
          <w:rFonts w:cs="Arial" w:ascii="Arial" w:hAnsi="Arial"/>
          <w:color w:val="000000"/>
          <w:sz w:val="20"/>
        </w:rPr>
      </w:r>
    </w:p>
    <w:tbl>
      <w:tblPr>
        <w:tblW w:w="6354" w:type="dxa"/>
        <w:jc w:val="center"/>
        <w:tblInd w:w="0" w:type="dxa"/>
        <w:tblCellMar>
          <w:top w:w="0" w:type="dxa"/>
          <w:left w:w="108" w:type="dxa"/>
          <w:bottom w:w="0" w:type="dxa"/>
          <w:right w:w="108" w:type="dxa"/>
        </w:tblCellMar>
      </w:tblPr>
      <w:tblGrid>
        <w:gridCol w:w="1845"/>
        <w:gridCol w:w="1079"/>
        <w:gridCol w:w="1170"/>
        <w:gridCol w:w="1170"/>
        <w:gridCol w:w="1085"/>
        <w:gridCol w:w="5"/>
      </w:tblGrid>
      <w:tr>
        <w:trPr>
          <w:trHeight w:val="202" w:hRule="atLeast"/>
        </w:trPr>
        <w:tc>
          <w:tcPr>
            <w:tcW w:w="1845" w:type="dxa"/>
            <w:tcBorders>
              <w:top w:val="single" w:sz="4" w:space="0" w:color="000000"/>
              <w:left w:val="single" w:sz="4" w:space="0" w:color="000000"/>
            </w:tcBorders>
            <w:vAlign w:val="bottom"/>
          </w:tcPr>
          <w:p>
            <w:pPr>
              <w:pStyle w:val="Normal"/>
              <w:snapToGrid w:val="false"/>
              <w:spacing w:lineRule="auto" w:line="240"/>
              <w:jc w:val="left"/>
              <w:rPr>
                <w:rFonts w:ascii="Arial" w:hAnsi="Arial" w:cs="Arial"/>
                <w:sz w:val="16"/>
                <w:szCs w:val="16"/>
              </w:rPr>
            </w:pPr>
            <w:r>
              <w:rPr>
                <w:rFonts w:cs="Arial" w:ascii="Arial" w:hAnsi="Arial"/>
                <w:sz w:val="16"/>
                <w:szCs w:val="16"/>
              </w:rPr>
            </w:r>
          </w:p>
        </w:tc>
        <w:tc>
          <w:tcPr>
            <w:tcW w:w="3419" w:type="dxa"/>
            <w:gridSpan w:val="3"/>
            <w:tcBorders>
              <w:top w:val="single" w:sz="4" w:space="0" w:color="000000"/>
              <w:lef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School Level</w:t>
            </w:r>
          </w:p>
        </w:tc>
        <w:tc>
          <w:tcPr>
            <w:tcW w:w="1090" w:type="dxa"/>
            <w:tcBorders>
              <w:top w:val="single" w:sz="4" w:space="0" w:color="000000"/>
              <w:left w:val="single" w:sz="4" w:space="0" w:color="000000"/>
              <w:right w:val="single" w:sz="4" w:space="0" w:color="000000"/>
            </w:tcBorders>
            <w:vAlign w:val="bottom"/>
          </w:tcPr>
          <w:p>
            <w:pPr>
              <w:pStyle w:val="Normal"/>
              <w:snapToGrid w:val="false"/>
              <w:spacing w:lineRule="auto" w:line="240"/>
              <w:jc w:val="left"/>
              <w:rPr>
                <w:rFonts w:ascii="Arial" w:hAnsi="Arial" w:cs="Arial"/>
                <w:b/>
                <w:b/>
                <w:bCs/>
                <w:sz w:val="16"/>
                <w:szCs w:val="16"/>
              </w:rPr>
            </w:pPr>
            <w:r>
              <w:rPr>
                <w:rFonts w:cs="Arial" w:ascii="Arial" w:hAnsi="Arial"/>
                <w:b/>
                <w:bCs/>
                <w:sz w:val="16"/>
                <w:szCs w:val="16"/>
              </w:rPr>
            </w:r>
          </w:p>
        </w:tc>
      </w:tr>
      <w:tr>
        <w:trPr/>
        <w:tc>
          <w:tcPr>
            <w:tcW w:w="1845" w:type="dxa"/>
            <w:tcBorders>
              <w:left w:val="single" w:sz="4" w:space="0" w:color="000000"/>
              <w:bottom w:val="single" w:sz="4" w:space="0" w:color="000000"/>
            </w:tcBorders>
            <w:vAlign w:val="bottom"/>
          </w:tcPr>
          <w:p>
            <w:pPr>
              <w:pStyle w:val="Normal"/>
              <w:spacing w:lineRule="auto" w:line="240"/>
              <w:jc w:val="left"/>
              <w:rPr>
                <w:rFonts w:ascii="Arial" w:hAnsi="Arial" w:cs="Arial"/>
                <w:b/>
                <w:b/>
                <w:bCs/>
                <w:sz w:val="16"/>
                <w:szCs w:val="16"/>
              </w:rPr>
            </w:pPr>
            <w:r>
              <w:rPr>
                <w:rFonts w:cs="Arial" w:ascii="Arial" w:hAnsi="Arial"/>
                <w:b/>
                <w:bCs/>
                <w:sz w:val="16"/>
                <w:szCs w:val="16"/>
              </w:rPr>
              <w:t>State/Outlying Area</w:t>
            </w:r>
          </w:p>
        </w:tc>
        <w:tc>
          <w:tcPr>
            <w:tcW w:w="1079" w:type="dxa"/>
            <w:tcBorders>
              <w:top w:val="single" w:sz="2" w:space="0" w:color="000000"/>
              <w:left w:val="single" w:sz="4" w:space="0" w:color="000000"/>
              <w:bottom w:val="single" w:sz="4" w:space="0" w:color="000000"/>
            </w:tcBorders>
            <w:vAlign w:val="bottom"/>
          </w:tcPr>
          <w:p>
            <w:pPr>
              <w:pStyle w:val="Normal"/>
              <w:tabs>
                <w:tab w:val="clear" w:pos="720"/>
                <w:tab w:val="decimal" w:pos="-4631" w:leader="none"/>
              </w:tabs>
              <w:spacing w:lineRule="auto" w:line="240"/>
              <w:jc w:val="center"/>
              <w:rPr>
                <w:rFonts w:ascii="Arial" w:hAnsi="Arial" w:cs="Arial"/>
                <w:b/>
                <w:b/>
                <w:bCs/>
                <w:sz w:val="16"/>
                <w:szCs w:val="16"/>
              </w:rPr>
            </w:pPr>
            <w:r>
              <w:rPr>
                <w:rFonts w:cs="Arial" w:ascii="Arial" w:hAnsi="Arial"/>
                <w:b/>
                <w:bCs/>
                <w:sz w:val="16"/>
                <w:szCs w:val="16"/>
              </w:rPr>
              <w:t xml:space="preserve">Elementary </w:t>
            </w:r>
          </w:p>
        </w:tc>
        <w:tc>
          <w:tcPr>
            <w:tcW w:w="1170" w:type="dxa"/>
            <w:tcBorders>
              <w:top w:val="single" w:sz="2"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Junior High</w:t>
            </w:r>
          </w:p>
        </w:tc>
        <w:tc>
          <w:tcPr>
            <w:tcW w:w="1170" w:type="dxa"/>
            <w:tcBorders>
              <w:top w:val="single" w:sz="2"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Senior High</w:t>
            </w:r>
          </w:p>
        </w:tc>
        <w:tc>
          <w:tcPr>
            <w:tcW w:w="1090" w:type="dxa"/>
            <w:tcBorders>
              <w:left w:val="single" w:sz="2"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Total</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Alabama</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39</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37</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62</w:t>
            </w:r>
          </w:p>
        </w:tc>
        <w:tc>
          <w:tcPr>
            <w:tcW w:w="1090" w:type="dxa"/>
            <w:tcBorders>
              <w:top w:val="single" w:sz="4" w:space="0" w:color="000000"/>
              <w:left w:val="single" w:sz="2"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138</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Alaska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15</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30</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55</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Arizona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18</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66</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124</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Arkansas</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15</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26</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39</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80</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California</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23</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75</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104</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Colorado</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25</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31</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Connecticut</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Delaware</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District of Columbia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Florida</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37</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51</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Georgia</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44</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66</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119</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Hawaii</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Idaho</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11</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21</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Illinois</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29</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53</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Indiana</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35</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41</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Iowa</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Kansas</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27</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32</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Kentucky</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22</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46</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Louisiana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23</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28</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24</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75</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Maine</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Maryland</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17</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21</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Massachusetts</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56</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30</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89</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Michigan</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38</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46</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Minnesota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16</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23</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Mississippi</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13</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17</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37</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67</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Missouri</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28</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25</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59</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Montana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23</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31</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Nebraska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Nevada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32</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24</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56</w:t>
            </w:r>
          </w:p>
        </w:tc>
      </w:tr>
      <w:tr>
        <w:trPr/>
        <w:tc>
          <w:tcPr>
            <w:tcW w:w="1845" w:type="dxa"/>
            <w:tcBorders>
              <w:left w:val="single" w:sz="4" w:space="0" w:color="000000"/>
              <w:bottom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Hampshire</w:t>
            </w:r>
          </w:p>
        </w:tc>
        <w:tc>
          <w:tcPr>
            <w:tcW w:w="1079"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090" w:type="dxa"/>
            <w:tcBorders>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r>
      <w:tr>
        <w:trPr/>
        <w:tc>
          <w:tcPr>
            <w:tcW w:w="1845" w:type="dxa"/>
            <w:tcBorders>
              <w:top w:val="single" w:sz="4" w:space="0" w:color="000000"/>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Jersey</w:t>
            </w:r>
          </w:p>
        </w:tc>
        <w:tc>
          <w:tcPr>
            <w:tcW w:w="1079"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w:t>
            </w:r>
          </w:p>
        </w:tc>
        <w:tc>
          <w:tcPr>
            <w:tcW w:w="1170" w:type="dxa"/>
            <w:tcBorders>
              <w:top w:val="single" w:sz="4"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090" w:type="dxa"/>
            <w:tcBorders>
              <w:top w:val="single" w:sz="4" w:space="0" w:color="000000"/>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16</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Mexico</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20</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New York</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27</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47</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88</w:t>
            </w:r>
          </w:p>
        </w:tc>
      </w:tr>
      <w:tr>
        <w:trPr/>
        <w:tc>
          <w:tcPr>
            <w:tcW w:w="1845" w:type="dxa"/>
            <w:tcBorders>
              <w:left w:val="single" w:sz="4"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 Carolina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20</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69</w:t>
            </w:r>
          </w:p>
        </w:tc>
        <w:tc>
          <w:tcPr>
            <w:tcW w:w="1090" w:type="dxa"/>
            <w:tcBorders>
              <w:left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92</w:t>
            </w:r>
          </w:p>
        </w:tc>
      </w:tr>
      <w:tr>
        <w:trPr/>
        <w:tc>
          <w:tcPr>
            <w:tcW w:w="1845" w:type="dxa"/>
            <w:tcBorders>
              <w:left w:val="single" w:sz="4" w:space="0" w:color="000000"/>
              <w:bottom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 Dakota</w:t>
            </w:r>
          </w:p>
        </w:tc>
        <w:tc>
          <w:tcPr>
            <w:tcW w:w="1079"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090" w:type="dxa"/>
            <w:tcBorders>
              <w:left w:val="single" w:sz="4" w:space="0" w:color="000000"/>
              <w:bottom w:val="single" w:sz="2"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r>
      <w:tr>
        <w:trPr/>
        <w:tc>
          <w:tcPr>
            <w:tcW w:w="1845" w:type="dxa"/>
            <w:tcBorders>
              <w:top w:val="single" w:sz="2" w:space="0" w:color="000000"/>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Ohio</w:t>
            </w:r>
          </w:p>
        </w:tc>
        <w:tc>
          <w:tcPr>
            <w:tcW w:w="1079" w:type="dxa"/>
            <w:tcBorders>
              <w:top w:val="single" w:sz="2"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10</w:t>
            </w:r>
          </w:p>
        </w:tc>
        <w:tc>
          <w:tcPr>
            <w:tcW w:w="1170" w:type="dxa"/>
            <w:tcBorders>
              <w:top w:val="single" w:sz="2"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w:t>
            </w:r>
          </w:p>
        </w:tc>
        <w:tc>
          <w:tcPr>
            <w:tcW w:w="1170" w:type="dxa"/>
            <w:tcBorders>
              <w:top w:val="single" w:sz="2" w:space="0" w:color="000000"/>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35</w:t>
            </w:r>
          </w:p>
        </w:tc>
        <w:tc>
          <w:tcPr>
            <w:tcW w:w="1085" w:type="dxa"/>
            <w:tcBorders>
              <w:top w:val="single" w:sz="2" w:space="0" w:color="000000"/>
              <w:left w:val="single" w:sz="4"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53</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Oklahoma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49</w:t>
            </w:r>
          </w:p>
        </w:tc>
        <w:tc>
          <w:tcPr>
            <w:tcW w:w="1085" w:type="dxa"/>
            <w:tcBorders>
              <w:left w:val="single" w:sz="4"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60</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Oregon</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14</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34</w:t>
            </w:r>
          </w:p>
        </w:tc>
        <w:tc>
          <w:tcPr>
            <w:tcW w:w="1085" w:type="dxa"/>
            <w:tcBorders>
              <w:left w:val="single" w:sz="4"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55</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Pennsylvania</w:t>
            </w:r>
          </w:p>
        </w:tc>
        <w:tc>
          <w:tcPr>
            <w:tcW w:w="1079"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12</w:t>
            </w:r>
          </w:p>
        </w:tc>
        <w:tc>
          <w:tcPr>
            <w:tcW w:w="1170" w:type="dxa"/>
            <w:tcBorders>
              <w:lef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17</w:t>
            </w:r>
          </w:p>
        </w:tc>
        <w:tc>
          <w:tcPr>
            <w:tcW w:w="1085" w:type="dxa"/>
            <w:tcBorders>
              <w:left w:val="single" w:sz="4"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36</w:t>
            </w:r>
          </w:p>
        </w:tc>
      </w:tr>
      <w:tr>
        <w:trPr/>
        <w:tc>
          <w:tcPr>
            <w:tcW w:w="1845" w:type="dxa"/>
            <w:tcBorders>
              <w:left w:val="single" w:sz="2" w:space="0" w:color="000000"/>
              <w:bottom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Puerto Rico</w:t>
            </w:r>
          </w:p>
        </w:tc>
        <w:tc>
          <w:tcPr>
            <w:tcW w:w="1079"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4"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085" w:type="dxa"/>
            <w:tcBorders>
              <w:left w:val="single" w:sz="4" w:space="0" w:color="000000"/>
              <w:bottom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r>
      <w:tr>
        <w:trPr/>
        <w:tc>
          <w:tcPr>
            <w:tcW w:w="1845" w:type="dxa"/>
            <w:tcBorders>
              <w:top w:val="single" w:sz="2" w:space="0" w:color="000000"/>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Rhode Island</w:t>
            </w:r>
          </w:p>
        </w:tc>
        <w:tc>
          <w:tcPr>
            <w:tcW w:w="1079"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w:t>
            </w:r>
          </w:p>
        </w:tc>
        <w:tc>
          <w:tcPr>
            <w:tcW w:w="1085" w:type="dxa"/>
            <w:tcBorders>
              <w:top w:val="single" w:sz="2" w:space="0" w:color="000000"/>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South Carolina</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28</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34</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South Dakota</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Tennessee</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18</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55</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80</w:t>
            </w:r>
          </w:p>
        </w:tc>
      </w:tr>
      <w:tr>
        <w:trPr/>
        <w:tc>
          <w:tcPr>
            <w:tcW w:w="1845" w:type="dxa"/>
            <w:tcBorders>
              <w:left w:val="single" w:sz="2" w:space="0" w:color="000000"/>
              <w:bottom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Texas</w:t>
            </w:r>
          </w:p>
        </w:tc>
        <w:tc>
          <w:tcPr>
            <w:tcW w:w="1079"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11</w:t>
            </w:r>
          </w:p>
        </w:tc>
        <w:tc>
          <w:tcPr>
            <w:tcW w:w="1170"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43</w:t>
            </w:r>
          </w:p>
        </w:tc>
        <w:tc>
          <w:tcPr>
            <w:tcW w:w="1170"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123</w:t>
            </w:r>
          </w:p>
        </w:tc>
        <w:tc>
          <w:tcPr>
            <w:tcW w:w="1085" w:type="dxa"/>
            <w:tcBorders>
              <w:left w:val="single" w:sz="2" w:space="0" w:color="000000"/>
              <w:bottom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177</w:t>
            </w:r>
          </w:p>
        </w:tc>
      </w:tr>
      <w:tr>
        <w:trPr/>
        <w:tc>
          <w:tcPr>
            <w:tcW w:w="1845" w:type="dxa"/>
            <w:tcBorders>
              <w:top w:val="single" w:sz="2" w:space="0" w:color="000000"/>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Utah</w:t>
            </w:r>
          </w:p>
        </w:tc>
        <w:tc>
          <w:tcPr>
            <w:tcW w:w="1079"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19</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35</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29</w:t>
            </w:r>
          </w:p>
        </w:tc>
        <w:tc>
          <w:tcPr>
            <w:tcW w:w="1085" w:type="dxa"/>
            <w:tcBorders>
              <w:top w:val="single" w:sz="2" w:space="0" w:color="000000"/>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83</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Vermont</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Virginia</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37</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72</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88</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197</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Washington</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21</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44</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27</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92</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West Virginia</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5</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6</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Wisconsin</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25</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30</w:t>
            </w:r>
          </w:p>
        </w:tc>
      </w:tr>
      <w:tr>
        <w:trPr/>
        <w:tc>
          <w:tcPr>
            <w:tcW w:w="1845" w:type="dxa"/>
            <w:tcBorders>
              <w:left w:val="single" w:sz="2" w:space="0" w:color="000000"/>
              <w:bottom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Wyoming</w:t>
            </w:r>
          </w:p>
        </w:tc>
        <w:tc>
          <w:tcPr>
            <w:tcW w:w="1079"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170"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170" w:type="dxa"/>
            <w:tcBorders>
              <w:left w:val="single" w:sz="2" w:space="0" w:color="000000"/>
              <w:bottom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w:t>
            </w:r>
          </w:p>
        </w:tc>
        <w:tc>
          <w:tcPr>
            <w:tcW w:w="1085" w:type="dxa"/>
            <w:tcBorders>
              <w:left w:val="single" w:sz="2" w:space="0" w:color="000000"/>
              <w:bottom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w:t>
            </w:r>
          </w:p>
        </w:tc>
      </w:tr>
      <w:tr>
        <w:trPr/>
        <w:tc>
          <w:tcPr>
            <w:tcW w:w="1845" w:type="dxa"/>
            <w:tcBorders>
              <w:top w:val="single" w:sz="2" w:space="0" w:color="000000"/>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American Samoa</w:t>
            </w:r>
          </w:p>
        </w:tc>
        <w:tc>
          <w:tcPr>
            <w:tcW w:w="1079"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top w:val="single" w:sz="2" w:space="0" w:color="000000"/>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085" w:type="dxa"/>
            <w:tcBorders>
              <w:top w:val="single" w:sz="2" w:space="0" w:color="000000"/>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Guam</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w:t>
            </w:r>
          </w:p>
        </w:tc>
      </w:tr>
      <w:tr>
        <w:trPr/>
        <w:tc>
          <w:tcPr>
            <w:tcW w:w="1845" w:type="dxa"/>
            <w:tcBorders>
              <w:left w:val="single" w:sz="2"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Northern Marianas</w:t>
            </w:r>
          </w:p>
        </w:tc>
        <w:tc>
          <w:tcPr>
            <w:tcW w:w="1079"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085" w:type="dxa"/>
            <w:tcBorders>
              <w:left w:val="single" w:sz="2"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r>
      <w:tr>
        <w:trPr/>
        <w:tc>
          <w:tcPr>
            <w:tcW w:w="1845" w:type="dxa"/>
            <w:tcBorders>
              <w:left w:val="single" w:sz="2" w:space="0" w:color="000000"/>
              <w:bottom w:val="single" w:sz="8" w:space="0" w:color="000000"/>
            </w:tcBorders>
            <w:vAlign w:val="center"/>
          </w:tcPr>
          <w:p>
            <w:pPr>
              <w:pStyle w:val="Normal"/>
              <w:spacing w:lineRule="auto" w:line="240"/>
              <w:rPr>
                <w:rFonts w:ascii="Arial" w:hAnsi="Arial" w:cs="Arial"/>
                <w:color w:val="000000"/>
                <w:sz w:val="16"/>
                <w:szCs w:val="16"/>
              </w:rPr>
            </w:pPr>
            <w:r>
              <w:rPr>
                <w:rFonts w:cs="Arial" w:ascii="Arial" w:hAnsi="Arial"/>
                <w:color w:val="000000"/>
                <w:sz w:val="16"/>
                <w:szCs w:val="16"/>
              </w:rPr>
              <w:t>Virgin Islands</w:t>
            </w:r>
          </w:p>
        </w:tc>
        <w:tc>
          <w:tcPr>
            <w:tcW w:w="1079" w:type="dxa"/>
            <w:tcBorders>
              <w:left w:val="single" w:sz="2" w:space="0" w:color="000000"/>
              <w:bottom w:val="single" w:sz="8"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170" w:type="dxa"/>
            <w:tcBorders>
              <w:left w:val="single" w:sz="2" w:space="0" w:color="000000"/>
              <w:bottom w:val="single" w:sz="8"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c>
          <w:tcPr>
            <w:tcW w:w="1170" w:type="dxa"/>
            <w:tcBorders>
              <w:left w:val="single" w:sz="2" w:space="0" w:color="000000"/>
              <w:bottom w:val="single" w:sz="8"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0</w:t>
            </w:r>
          </w:p>
        </w:tc>
        <w:tc>
          <w:tcPr>
            <w:tcW w:w="1085" w:type="dxa"/>
            <w:tcBorders>
              <w:left w:val="single" w:sz="2" w:space="0" w:color="000000"/>
              <w:bottom w:val="single" w:sz="8" w:space="0" w:color="000000"/>
              <w:right w:val="single" w:sz="2"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4</w:t>
            </w:r>
          </w:p>
        </w:tc>
      </w:tr>
      <w:tr>
        <w:trPr/>
        <w:tc>
          <w:tcPr>
            <w:tcW w:w="1845" w:type="dxa"/>
            <w:tcBorders>
              <w:top w:val="single" w:sz="8" w:space="0" w:color="000000"/>
              <w:left w:val="single" w:sz="4" w:space="0" w:color="000000"/>
              <w:bottom w:val="single" w:sz="4" w:space="0" w:color="000000"/>
            </w:tcBorders>
            <w:vAlign w:val="center"/>
          </w:tcPr>
          <w:p>
            <w:pPr>
              <w:pStyle w:val="Normal"/>
              <w:spacing w:lineRule="auto" w:line="240"/>
              <w:rPr>
                <w:rFonts w:ascii="Arial" w:hAnsi="Arial" w:cs="Arial"/>
                <w:sz w:val="16"/>
                <w:szCs w:val="16"/>
              </w:rPr>
            </w:pPr>
            <w:r>
              <w:rPr>
                <w:rFonts w:cs="Arial" w:ascii="Arial" w:hAnsi="Arial"/>
                <w:sz w:val="16"/>
                <w:szCs w:val="16"/>
              </w:rPr>
              <w:t>Total</w:t>
            </w:r>
          </w:p>
        </w:tc>
        <w:tc>
          <w:tcPr>
            <w:tcW w:w="1079" w:type="dxa"/>
            <w:tcBorders>
              <w:top w:val="single" w:sz="8" w:space="0" w:color="000000"/>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333</w:t>
            </w:r>
          </w:p>
        </w:tc>
        <w:tc>
          <w:tcPr>
            <w:tcW w:w="1170" w:type="dxa"/>
            <w:tcBorders>
              <w:top w:val="single" w:sz="8" w:space="0" w:color="000000"/>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768</w:t>
            </w:r>
          </w:p>
        </w:tc>
        <w:tc>
          <w:tcPr>
            <w:tcW w:w="1170" w:type="dxa"/>
            <w:tcBorders>
              <w:top w:val="single" w:sz="8" w:space="0" w:color="000000"/>
              <w:left w:val="single" w:sz="4" w:space="0" w:color="000000"/>
              <w:bottom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1,453</w:t>
            </w:r>
          </w:p>
        </w:tc>
        <w:tc>
          <w:tcPr>
            <w:tcW w:w="1090" w:type="dxa"/>
            <w:tcBorders>
              <w:top w:val="single" w:sz="8" w:space="0" w:color="000000"/>
              <w:left w:val="single" w:sz="4" w:space="0" w:color="000000"/>
              <w:bottom w:val="single" w:sz="4" w:space="0" w:color="000000"/>
              <w:right w:val="single" w:sz="4" w:space="0" w:color="000000"/>
            </w:tcBorders>
            <w:vAlign w:val="center"/>
          </w:tcPr>
          <w:p>
            <w:pPr>
              <w:pStyle w:val="Normal"/>
              <w:tabs>
                <w:tab w:val="clear" w:pos="720"/>
                <w:tab w:val="decimal" w:pos="500" w:leader="none"/>
              </w:tabs>
              <w:spacing w:lineRule="auto" w:line="240"/>
              <w:rPr>
                <w:rFonts w:ascii="Arial" w:hAnsi="Arial" w:cs="Arial"/>
                <w:sz w:val="16"/>
                <w:szCs w:val="16"/>
              </w:rPr>
            </w:pPr>
            <w:r>
              <w:rPr>
                <w:rFonts w:cs="Arial" w:ascii="Arial" w:hAnsi="Arial"/>
                <w:sz w:val="16"/>
                <w:szCs w:val="16"/>
              </w:rPr>
              <w:t>2,554</w:t>
            </w:r>
          </w:p>
        </w:tc>
      </w:tr>
    </w:tbl>
    <w:p>
      <w:pPr>
        <w:pStyle w:val="Normal"/>
        <w:spacing w:lineRule="auto" w:line="240"/>
        <w:rPr>
          <w:rFonts w:ascii="Arial" w:hAnsi="Arial" w:cs="Arial"/>
          <w:color w:val="000000"/>
          <w:sz w:val="20"/>
        </w:rPr>
      </w:pPr>
      <w:r>
        <w:br w:type="page"/>
      </w:r>
      <w:bookmarkStart w:id="0" w:name="RANGE!A1%3AE66"/>
      <w:r>
        <w:rPr>
          <w:rFonts w:cs="Arial" w:ascii="Arial" w:hAnsi="Arial"/>
          <w:b/>
          <w:bCs/>
          <w:sz w:val="20"/>
        </w:rPr>
        <w:t>Table 3</w:t>
      </w:r>
      <w:bookmarkEnd w:id="0"/>
    </w:p>
    <w:p>
      <w:pPr>
        <w:pStyle w:val="Normal"/>
        <w:spacing w:lineRule="auto" w:line="240" w:before="40" w:after="40"/>
        <w:rPr>
          <w:rFonts w:ascii="Arial" w:hAnsi="Arial" w:cs="Arial"/>
          <w:sz w:val="20"/>
        </w:rPr>
      </w:pPr>
      <w:r>
        <w:rPr>
          <w:rFonts w:cs="Arial" w:ascii="Arial" w:hAnsi="Arial"/>
          <w:sz w:val="20"/>
        </w:rPr>
        <w:t>Number of students found to have brought a firearm to school, by type of firearm, 2001-2002</w:t>
      </w:r>
    </w:p>
    <w:p>
      <w:pPr>
        <w:pStyle w:val="Normal"/>
        <w:spacing w:lineRule="auto" w:line="240" w:before="40" w:after="40"/>
        <w:rPr>
          <w:rFonts w:ascii="Arial" w:hAnsi="Arial" w:cs="Arial"/>
          <w:sz w:val="20"/>
        </w:rPr>
      </w:pPr>
      <w:r>
        <w:rPr>
          <w:rFonts w:cs="Arial" w:ascii="Arial" w:hAnsi="Arial"/>
          <w:sz w:val="20"/>
        </w:rPr>
      </w:r>
    </w:p>
    <w:tbl>
      <w:tblPr>
        <w:tblW w:w="5218" w:type="dxa"/>
        <w:jc w:val="center"/>
        <w:tblInd w:w="0" w:type="dxa"/>
        <w:tblCellMar>
          <w:top w:w="0" w:type="dxa"/>
          <w:left w:w="108" w:type="dxa"/>
          <w:bottom w:w="0" w:type="dxa"/>
          <w:right w:w="108" w:type="dxa"/>
        </w:tblCellMar>
      </w:tblPr>
      <w:tblGrid>
        <w:gridCol w:w="1704"/>
        <w:gridCol w:w="917"/>
        <w:gridCol w:w="810"/>
        <w:gridCol w:w="810"/>
        <w:gridCol w:w="972"/>
        <w:gridCol w:w="5"/>
      </w:tblGrid>
      <w:tr>
        <w:trPr/>
        <w:tc>
          <w:tcPr>
            <w:tcW w:w="1704" w:type="dxa"/>
            <w:tcBorders>
              <w:top w:val="single" w:sz="4" w:space="0" w:color="000000"/>
              <w:left w:val="single" w:sz="4" w:space="0" w:color="000000"/>
            </w:tcBorders>
            <w:vAlign w:val="bottom"/>
          </w:tcPr>
          <w:p>
            <w:pPr>
              <w:pStyle w:val="Normal"/>
              <w:snapToGrid w:val="false"/>
              <w:spacing w:lineRule="auto" w:line="240"/>
              <w:jc w:val="right"/>
              <w:rPr>
                <w:rFonts w:ascii="Arial" w:hAnsi="Arial" w:cs="Arial"/>
                <w:sz w:val="16"/>
                <w:szCs w:val="16"/>
              </w:rPr>
            </w:pPr>
            <w:r>
              <w:rPr>
                <w:rFonts w:cs="Arial" w:ascii="Arial" w:hAnsi="Arial"/>
                <w:sz w:val="16"/>
                <w:szCs w:val="16"/>
              </w:rPr>
            </w:r>
          </w:p>
        </w:tc>
        <w:tc>
          <w:tcPr>
            <w:tcW w:w="2537" w:type="dxa"/>
            <w:gridSpan w:val="3"/>
            <w:tcBorders>
              <w:top w:val="single" w:sz="4" w:space="0" w:color="000000"/>
              <w:lef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Type of Firearm</w:t>
            </w:r>
          </w:p>
        </w:tc>
        <w:tc>
          <w:tcPr>
            <w:tcW w:w="977" w:type="dxa"/>
            <w:tcBorders>
              <w:top w:val="single" w:sz="4" w:space="0" w:color="000000"/>
              <w:left w:val="single" w:sz="4" w:space="0" w:color="000000"/>
              <w:right w:val="single" w:sz="4" w:space="0" w:color="000000"/>
            </w:tcBorders>
            <w:vAlign w:val="bottom"/>
          </w:tcPr>
          <w:p>
            <w:pPr>
              <w:pStyle w:val="Normal"/>
              <w:snapToGrid w:val="false"/>
              <w:spacing w:lineRule="auto" w:line="240"/>
              <w:jc w:val="center"/>
              <w:rPr>
                <w:rFonts w:ascii="Arial" w:hAnsi="Arial" w:cs="Arial"/>
                <w:b/>
                <w:b/>
                <w:bCs/>
                <w:sz w:val="16"/>
                <w:szCs w:val="16"/>
              </w:rPr>
            </w:pPr>
            <w:r>
              <w:rPr>
                <w:rFonts w:cs="Arial" w:ascii="Arial" w:hAnsi="Arial"/>
                <w:b/>
                <w:bCs/>
                <w:sz w:val="16"/>
                <w:szCs w:val="16"/>
              </w:rPr>
            </w:r>
          </w:p>
        </w:tc>
      </w:tr>
      <w:tr>
        <w:trPr/>
        <w:tc>
          <w:tcPr>
            <w:tcW w:w="1704" w:type="dxa"/>
            <w:tcBorders>
              <w:left w:val="single" w:sz="4" w:space="0" w:color="000000"/>
              <w:bottom w:val="single" w:sz="4" w:space="0" w:color="000000"/>
            </w:tcBorders>
            <w:vAlign w:val="bottom"/>
          </w:tcPr>
          <w:p>
            <w:pPr>
              <w:pStyle w:val="Normal"/>
              <w:spacing w:lineRule="auto" w:line="240"/>
              <w:jc w:val="left"/>
              <w:rPr>
                <w:rFonts w:ascii="Arial" w:hAnsi="Arial" w:cs="Arial"/>
                <w:b/>
                <w:b/>
                <w:sz w:val="16"/>
                <w:szCs w:val="16"/>
              </w:rPr>
            </w:pPr>
            <w:r>
              <w:rPr>
                <w:rFonts w:cs="Arial" w:ascii="Arial" w:hAnsi="Arial"/>
                <w:b/>
                <w:sz w:val="16"/>
                <w:szCs w:val="16"/>
              </w:rPr>
              <w:t>State/Outlying Area</w:t>
            </w:r>
          </w:p>
        </w:tc>
        <w:tc>
          <w:tcPr>
            <w:tcW w:w="917" w:type="dxa"/>
            <w:tcBorders>
              <w:left w:val="single" w:sz="4" w:space="0" w:color="000000"/>
              <w:bottom w:val="single" w:sz="4" w:space="0" w:color="000000"/>
            </w:tcBorders>
            <w:vAlign w:val="bottom"/>
          </w:tcPr>
          <w:p>
            <w:pPr>
              <w:pStyle w:val="Normal"/>
              <w:spacing w:lineRule="auto" w:line="240"/>
              <w:jc w:val="center"/>
              <w:rPr>
                <w:rFonts w:ascii="Arial" w:hAnsi="Arial" w:cs="Arial"/>
                <w:b/>
                <w:b/>
                <w:sz w:val="16"/>
                <w:szCs w:val="16"/>
              </w:rPr>
            </w:pPr>
            <w:r>
              <w:rPr>
                <w:rFonts w:cs="Arial" w:ascii="Arial" w:hAnsi="Arial"/>
                <w:b/>
                <w:sz w:val="16"/>
                <w:szCs w:val="16"/>
              </w:rPr>
              <w:t>Handgun</w:t>
            </w:r>
          </w:p>
        </w:tc>
        <w:tc>
          <w:tcPr>
            <w:tcW w:w="810" w:type="dxa"/>
            <w:tcBorders>
              <w:left w:val="single" w:sz="4" w:space="0" w:color="000000"/>
              <w:bottom w:val="single" w:sz="4" w:space="0" w:color="000000"/>
            </w:tcBorders>
            <w:vAlign w:val="bottom"/>
          </w:tcPr>
          <w:p>
            <w:pPr>
              <w:pStyle w:val="Normal"/>
              <w:spacing w:lineRule="auto" w:line="240"/>
              <w:jc w:val="center"/>
              <w:rPr>
                <w:rFonts w:ascii="Arial" w:hAnsi="Arial" w:cs="Arial"/>
                <w:b/>
                <w:b/>
                <w:sz w:val="16"/>
                <w:szCs w:val="16"/>
              </w:rPr>
            </w:pPr>
            <w:r>
              <w:rPr>
                <w:rFonts w:cs="Arial" w:ascii="Arial" w:hAnsi="Arial"/>
                <w:b/>
                <w:sz w:val="16"/>
                <w:szCs w:val="16"/>
              </w:rPr>
              <w:t>Rifle</w:t>
            </w:r>
          </w:p>
        </w:tc>
        <w:tc>
          <w:tcPr>
            <w:tcW w:w="810" w:type="dxa"/>
            <w:tcBorders>
              <w:left w:val="single" w:sz="4" w:space="0" w:color="000000"/>
              <w:bottom w:val="single" w:sz="4" w:space="0" w:color="000000"/>
            </w:tcBorders>
            <w:vAlign w:val="bottom"/>
          </w:tcPr>
          <w:p>
            <w:pPr>
              <w:pStyle w:val="Normal"/>
              <w:spacing w:lineRule="auto" w:line="240"/>
              <w:jc w:val="center"/>
              <w:rPr>
                <w:rFonts w:ascii="Arial" w:hAnsi="Arial" w:cs="Arial"/>
                <w:b/>
                <w:b/>
                <w:sz w:val="16"/>
                <w:szCs w:val="16"/>
              </w:rPr>
            </w:pPr>
            <w:r>
              <w:rPr>
                <w:rFonts w:cs="Arial" w:ascii="Arial" w:hAnsi="Arial"/>
                <w:b/>
                <w:sz w:val="16"/>
                <w:szCs w:val="16"/>
              </w:rPr>
              <w:t>Other</w:t>
            </w:r>
          </w:p>
        </w:tc>
        <w:tc>
          <w:tcPr>
            <w:tcW w:w="977" w:type="dxa"/>
            <w:tcBorders>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sz w:val="16"/>
                <w:szCs w:val="16"/>
              </w:rPr>
            </w:pPr>
            <w:r>
              <w:rPr>
                <w:rFonts w:cs="Arial" w:ascii="Arial" w:hAnsi="Arial"/>
                <w:b/>
                <w:sz w:val="16"/>
                <w:szCs w:val="16"/>
              </w:rPr>
              <w:t>Total</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Alabama</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38</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15</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85</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138</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Alaska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13</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35</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55</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Arizona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70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8</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46</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124</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Arkansas</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36</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43</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80</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California</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99</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104</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Colorado</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19</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31</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Connecticut</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8</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Delaware</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District of Columbia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Florida</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40</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51</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Georgia</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48</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64</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119</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Hawaii</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7</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Idaho</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21</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Illinois</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49</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53</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Indiana</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31</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41</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Iowa</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8</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9</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Kansas</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16</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9</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32</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Kentucky</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25</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46</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Louisiana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52</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18</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75</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Maine</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Maryland</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13</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21</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Massachusetts</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23</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66</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89</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Michigan</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9</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46</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Minnesota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8</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23</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Mississippi</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38</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13</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16</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67</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Missouri</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26</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27</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59</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Montana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8</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16</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31</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Nebraska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6</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Nevada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24</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25</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56</w:t>
            </w:r>
          </w:p>
        </w:tc>
      </w:tr>
      <w:tr>
        <w:trPr/>
        <w:tc>
          <w:tcPr>
            <w:tcW w:w="1704" w:type="dxa"/>
            <w:tcBorders>
              <w:left w:val="single" w:sz="4" w:space="0" w:color="000000"/>
              <w:bottom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New Hampshire</w:t>
            </w:r>
          </w:p>
        </w:tc>
        <w:tc>
          <w:tcPr>
            <w:tcW w:w="917" w:type="dxa"/>
            <w:tcBorders>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0</w:t>
            </w:r>
          </w:p>
        </w:tc>
      </w:tr>
      <w:tr>
        <w:trPr/>
        <w:tc>
          <w:tcPr>
            <w:tcW w:w="1704" w:type="dxa"/>
            <w:tcBorders>
              <w:top w:val="single" w:sz="4" w:space="0" w:color="000000"/>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New Jersey</w:t>
            </w:r>
          </w:p>
        </w:tc>
        <w:tc>
          <w:tcPr>
            <w:tcW w:w="917" w:type="dxa"/>
            <w:tcBorders>
              <w:top w:val="single" w:sz="4"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12</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top w:val="single" w:sz="4"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w:t>
            </w:r>
          </w:p>
        </w:tc>
        <w:tc>
          <w:tcPr>
            <w:tcW w:w="977" w:type="dxa"/>
            <w:tcBorders>
              <w:top w:val="single" w:sz="4" w:space="0" w:color="000000"/>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16</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New Mexico</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8</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20</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New York</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46</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35</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88</w:t>
            </w:r>
          </w:p>
        </w:tc>
      </w:tr>
      <w:tr>
        <w:trPr/>
        <w:tc>
          <w:tcPr>
            <w:tcW w:w="1704" w:type="dxa"/>
            <w:tcBorders>
              <w:left w:val="single" w:sz="4"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North Carolina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47</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14</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31</w:t>
            </w:r>
          </w:p>
        </w:tc>
        <w:tc>
          <w:tcPr>
            <w:tcW w:w="977" w:type="dxa"/>
            <w:tcBorders>
              <w:left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92</w:t>
            </w:r>
          </w:p>
        </w:tc>
      </w:tr>
      <w:tr>
        <w:trPr/>
        <w:tc>
          <w:tcPr>
            <w:tcW w:w="1704" w:type="dxa"/>
            <w:tcBorders>
              <w:left w:val="single" w:sz="4" w:space="0" w:color="000000"/>
              <w:bottom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North Dakota</w:t>
            </w:r>
          </w:p>
        </w:tc>
        <w:tc>
          <w:tcPr>
            <w:tcW w:w="917" w:type="dxa"/>
            <w:tcBorders>
              <w:left w:val="single" w:sz="4" w:space="0" w:color="000000"/>
              <w:bottom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4"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w:t>
            </w:r>
          </w:p>
        </w:tc>
        <w:tc>
          <w:tcPr>
            <w:tcW w:w="810" w:type="dxa"/>
            <w:tcBorders>
              <w:left w:val="single" w:sz="4"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7" w:type="dxa"/>
            <w:tcBorders>
              <w:left w:val="single" w:sz="4" w:space="0" w:color="000000"/>
              <w:bottom w:val="single" w:sz="2"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w:t>
            </w:r>
          </w:p>
        </w:tc>
      </w:tr>
      <w:tr>
        <w:trPr/>
        <w:tc>
          <w:tcPr>
            <w:tcW w:w="1704" w:type="dxa"/>
            <w:tcBorders>
              <w:top w:val="single" w:sz="2" w:space="0" w:color="000000"/>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Ohio</w:t>
            </w:r>
          </w:p>
        </w:tc>
        <w:tc>
          <w:tcPr>
            <w:tcW w:w="917" w:type="dxa"/>
            <w:tcBorders>
              <w:top w:val="single" w:sz="2" w:space="0" w:color="000000"/>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53</w:t>
            </w:r>
          </w:p>
        </w:tc>
        <w:tc>
          <w:tcPr>
            <w:tcW w:w="810" w:type="dxa"/>
            <w:tcBorders>
              <w:top w:val="single" w:sz="2"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top w:val="single" w:sz="2" w:space="0" w:color="000000"/>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top w:val="single" w:sz="2" w:space="0" w:color="000000"/>
              <w:left w:val="single" w:sz="4"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53</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Oklahoma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19</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w:t>
            </w:r>
          </w:p>
        </w:tc>
        <w:tc>
          <w:tcPr>
            <w:tcW w:w="972" w:type="dxa"/>
            <w:tcBorders>
              <w:left w:val="single" w:sz="4"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60</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Oregon</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20</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30</w:t>
            </w:r>
          </w:p>
        </w:tc>
        <w:tc>
          <w:tcPr>
            <w:tcW w:w="972" w:type="dxa"/>
            <w:tcBorders>
              <w:left w:val="single" w:sz="4"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55</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Pennsylvania</w:t>
            </w:r>
          </w:p>
        </w:tc>
        <w:tc>
          <w:tcPr>
            <w:tcW w:w="917" w:type="dxa"/>
            <w:tcBorders>
              <w:left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26</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9</w:t>
            </w:r>
          </w:p>
        </w:tc>
        <w:tc>
          <w:tcPr>
            <w:tcW w:w="810" w:type="dxa"/>
            <w:tcBorders>
              <w:left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2" w:type="dxa"/>
            <w:tcBorders>
              <w:left w:val="single" w:sz="4"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36</w:t>
            </w:r>
          </w:p>
        </w:tc>
      </w:tr>
      <w:tr>
        <w:trPr/>
        <w:tc>
          <w:tcPr>
            <w:tcW w:w="1704" w:type="dxa"/>
            <w:tcBorders>
              <w:left w:val="single" w:sz="2" w:space="0" w:color="000000"/>
              <w:bottom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Puerto Rico</w:t>
            </w:r>
          </w:p>
        </w:tc>
        <w:tc>
          <w:tcPr>
            <w:tcW w:w="917" w:type="dxa"/>
            <w:tcBorders>
              <w:left w:val="single" w:sz="4" w:space="0" w:color="000000"/>
              <w:bottom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w:t>
            </w:r>
          </w:p>
        </w:tc>
        <w:tc>
          <w:tcPr>
            <w:tcW w:w="810" w:type="dxa"/>
            <w:tcBorders>
              <w:left w:val="single" w:sz="4"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4"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left w:val="single" w:sz="4" w:space="0" w:color="000000"/>
              <w:bottom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w:t>
            </w:r>
          </w:p>
        </w:tc>
      </w:tr>
      <w:tr>
        <w:trPr/>
        <w:tc>
          <w:tcPr>
            <w:tcW w:w="1704" w:type="dxa"/>
            <w:tcBorders>
              <w:top w:val="single" w:sz="2" w:space="0" w:color="000000"/>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Rhode Island</w:t>
            </w:r>
          </w:p>
        </w:tc>
        <w:tc>
          <w:tcPr>
            <w:tcW w:w="917" w:type="dxa"/>
            <w:tcBorders>
              <w:top w:val="single" w:sz="2" w:space="0" w:color="000000"/>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5</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w:t>
            </w:r>
          </w:p>
        </w:tc>
        <w:tc>
          <w:tcPr>
            <w:tcW w:w="972" w:type="dxa"/>
            <w:tcBorders>
              <w:top w:val="single" w:sz="2" w:space="0" w:color="000000"/>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7</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South Carolina</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28</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34</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South Dakota</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5</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Tennessee</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48</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27</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80</w:t>
            </w:r>
          </w:p>
        </w:tc>
      </w:tr>
      <w:tr>
        <w:trPr/>
        <w:tc>
          <w:tcPr>
            <w:tcW w:w="1704" w:type="dxa"/>
            <w:tcBorders>
              <w:left w:val="single" w:sz="2" w:space="0" w:color="000000"/>
              <w:bottom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Texas</w:t>
            </w:r>
          </w:p>
        </w:tc>
        <w:tc>
          <w:tcPr>
            <w:tcW w:w="917" w:type="dxa"/>
            <w:tcBorders>
              <w:left w:val="single" w:sz="2" w:space="0" w:color="000000"/>
              <w:bottom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105</w:t>
            </w:r>
          </w:p>
        </w:tc>
        <w:tc>
          <w:tcPr>
            <w:tcW w:w="810" w:type="dxa"/>
            <w:tcBorders>
              <w:left w:val="single" w:sz="2"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46</w:t>
            </w:r>
          </w:p>
        </w:tc>
        <w:tc>
          <w:tcPr>
            <w:tcW w:w="810" w:type="dxa"/>
            <w:tcBorders>
              <w:left w:val="single" w:sz="2"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26</w:t>
            </w:r>
          </w:p>
        </w:tc>
        <w:tc>
          <w:tcPr>
            <w:tcW w:w="972" w:type="dxa"/>
            <w:tcBorders>
              <w:left w:val="single" w:sz="2" w:space="0" w:color="000000"/>
              <w:bottom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177</w:t>
            </w:r>
          </w:p>
        </w:tc>
      </w:tr>
      <w:tr>
        <w:trPr/>
        <w:tc>
          <w:tcPr>
            <w:tcW w:w="1704" w:type="dxa"/>
            <w:tcBorders>
              <w:top w:val="single" w:sz="2" w:space="0" w:color="000000"/>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Utah</w:t>
            </w:r>
          </w:p>
        </w:tc>
        <w:tc>
          <w:tcPr>
            <w:tcW w:w="917" w:type="dxa"/>
            <w:tcBorders>
              <w:top w:val="single" w:sz="2" w:space="0" w:color="000000"/>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20</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61</w:t>
            </w:r>
          </w:p>
        </w:tc>
        <w:tc>
          <w:tcPr>
            <w:tcW w:w="972" w:type="dxa"/>
            <w:tcBorders>
              <w:top w:val="single" w:sz="2" w:space="0" w:color="000000"/>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83</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Vermont</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3</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Virginia</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49</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11</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137</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197</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Washington</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27</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55</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92</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West Virginia</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5</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6</w:t>
            </w:r>
          </w:p>
        </w:tc>
      </w:tr>
      <w:tr>
        <w:trPr/>
        <w:tc>
          <w:tcPr>
            <w:tcW w:w="1704" w:type="dxa"/>
            <w:tcBorders>
              <w:left w:val="single" w:sz="2" w:space="0" w:color="000000"/>
              <w:bottom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Wyoming</w:t>
            </w:r>
          </w:p>
        </w:tc>
        <w:tc>
          <w:tcPr>
            <w:tcW w:w="917" w:type="dxa"/>
            <w:tcBorders>
              <w:left w:val="single" w:sz="2" w:space="0" w:color="000000"/>
              <w:bottom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3</w:t>
            </w:r>
          </w:p>
        </w:tc>
        <w:tc>
          <w:tcPr>
            <w:tcW w:w="810" w:type="dxa"/>
            <w:tcBorders>
              <w:left w:val="single" w:sz="2"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w:t>
            </w:r>
          </w:p>
        </w:tc>
        <w:tc>
          <w:tcPr>
            <w:tcW w:w="810" w:type="dxa"/>
            <w:tcBorders>
              <w:left w:val="single" w:sz="2" w:space="0" w:color="000000"/>
              <w:bottom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2</w:t>
            </w:r>
          </w:p>
        </w:tc>
        <w:tc>
          <w:tcPr>
            <w:tcW w:w="972" w:type="dxa"/>
            <w:tcBorders>
              <w:left w:val="single" w:sz="2" w:space="0" w:color="000000"/>
              <w:bottom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7</w:t>
            </w:r>
          </w:p>
        </w:tc>
      </w:tr>
      <w:tr>
        <w:trPr/>
        <w:tc>
          <w:tcPr>
            <w:tcW w:w="1704" w:type="dxa"/>
            <w:tcBorders>
              <w:top w:val="single" w:sz="2" w:space="0" w:color="000000"/>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American Samoa</w:t>
            </w:r>
          </w:p>
        </w:tc>
        <w:tc>
          <w:tcPr>
            <w:tcW w:w="917" w:type="dxa"/>
            <w:tcBorders>
              <w:top w:val="single" w:sz="2" w:space="0" w:color="000000"/>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top w:val="single" w:sz="2" w:space="0" w:color="000000"/>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top w:val="single" w:sz="2" w:space="0" w:color="000000"/>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0</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Guam</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1</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1</w:t>
            </w:r>
          </w:p>
        </w:tc>
      </w:tr>
      <w:tr>
        <w:trPr/>
        <w:tc>
          <w:tcPr>
            <w:tcW w:w="1704" w:type="dxa"/>
            <w:tcBorders>
              <w:left w:val="single" w:sz="2"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Northern Marianas</w:t>
            </w:r>
          </w:p>
        </w:tc>
        <w:tc>
          <w:tcPr>
            <w:tcW w:w="917" w:type="dxa"/>
            <w:tcBorders>
              <w:left w:val="single" w:sz="2"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left w:val="single" w:sz="2"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0</w:t>
            </w:r>
          </w:p>
        </w:tc>
      </w:tr>
      <w:tr>
        <w:trPr/>
        <w:tc>
          <w:tcPr>
            <w:tcW w:w="1704" w:type="dxa"/>
            <w:tcBorders>
              <w:left w:val="single" w:sz="2" w:space="0" w:color="000000"/>
              <w:bottom w:val="single" w:sz="8" w:space="0" w:color="000000"/>
            </w:tcBorders>
            <w:vAlign w:val="bottom"/>
          </w:tcPr>
          <w:p>
            <w:pPr>
              <w:pStyle w:val="Normal"/>
              <w:spacing w:lineRule="auto" w:line="240"/>
              <w:rPr>
                <w:rFonts w:ascii="Arial" w:hAnsi="Arial" w:cs="Arial"/>
                <w:color w:val="000000"/>
                <w:sz w:val="16"/>
                <w:szCs w:val="16"/>
              </w:rPr>
            </w:pPr>
            <w:r>
              <w:rPr>
                <w:rFonts w:cs="Arial" w:ascii="Arial" w:hAnsi="Arial"/>
                <w:color w:val="000000"/>
                <w:sz w:val="16"/>
                <w:szCs w:val="16"/>
              </w:rPr>
              <w:t>Virgin Islands</w:t>
            </w:r>
          </w:p>
        </w:tc>
        <w:tc>
          <w:tcPr>
            <w:tcW w:w="917" w:type="dxa"/>
            <w:tcBorders>
              <w:left w:val="single" w:sz="2" w:space="0" w:color="000000"/>
              <w:bottom w:val="single" w:sz="8"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4</w:t>
            </w:r>
          </w:p>
        </w:tc>
        <w:tc>
          <w:tcPr>
            <w:tcW w:w="810" w:type="dxa"/>
            <w:tcBorders>
              <w:left w:val="single" w:sz="2" w:space="0" w:color="000000"/>
              <w:bottom w:val="single" w:sz="8"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810" w:type="dxa"/>
            <w:tcBorders>
              <w:left w:val="single" w:sz="2" w:space="0" w:color="000000"/>
              <w:bottom w:val="single" w:sz="8"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0</w:t>
            </w:r>
          </w:p>
        </w:tc>
        <w:tc>
          <w:tcPr>
            <w:tcW w:w="972" w:type="dxa"/>
            <w:tcBorders>
              <w:left w:val="single" w:sz="2" w:space="0" w:color="000000"/>
              <w:bottom w:val="single" w:sz="8" w:space="0" w:color="000000"/>
              <w:right w:val="single" w:sz="2"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4</w:t>
            </w:r>
          </w:p>
        </w:tc>
      </w:tr>
      <w:tr>
        <w:trPr/>
        <w:tc>
          <w:tcPr>
            <w:tcW w:w="1704" w:type="dxa"/>
            <w:tcBorders>
              <w:top w:val="single" w:sz="8" w:space="0" w:color="000000"/>
              <w:left w:val="single" w:sz="4" w:space="0" w:color="000000"/>
              <w:bottom w:val="single" w:sz="4" w:space="0" w:color="000000"/>
            </w:tcBorders>
            <w:vAlign w:val="center"/>
          </w:tcPr>
          <w:p>
            <w:pPr>
              <w:pStyle w:val="Normal"/>
              <w:spacing w:lineRule="auto" w:line="240"/>
              <w:rPr>
                <w:rFonts w:ascii="Arial" w:hAnsi="Arial" w:cs="Arial"/>
                <w:sz w:val="16"/>
                <w:szCs w:val="16"/>
              </w:rPr>
            </w:pPr>
            <w:r>
              <w:rPr>
                <w:rFonts w:cs="Arial" w:ascii="Arial" w:hAnsi="Arial"/>
                <w:sz w:val="16"/>
                <w:szCs w:val="16"/>
              </w:rPr>
              <w:t>Total</w:t>
            </w:r>
          </w:p>
        </w:tc>
        <w:tc>
          <w:tcPr>
            <w:tcW w:w="917" w:type="dxa"/>
            <w:tcBorders>
              <w:top w:val="single" w:sz="8" w:space="0" w:color="000000"/>
              <w:left w:val="single" w:sz="4" w:space="0" w:color="000000"/>
              <w:bottom w:val="single" w:sz="4" w:space="0" w:color="000000"/>
            </w:tcBorders>
            <w:vAlign w:val="center"/>
          </w:tcPr>
          <w:p>
            <w:pPr>
              <w:pStyle w:val="Normal"/>
              <w:tabs>
                <w:tab w:val="clear" w:pos="720"/>
                <w:tab w:val="decimal" w:pos="432" w:leader="none"/>
              </w:tabs>
              <w:spacing w:lineRule="auto" w:line="240"/>
              <w:rPr>
                <w:rFonts w:ascii="Arial" w:hAnsi="Arial" w:cs="Arial"/>
                <w:sz w:val="16"/>
                <w:szCs w:val="16"/>
              </w:rPr>
            </w:pPr>
            <w:r>
              <w:rPr>
                <w:rFonts w:cs="Arial" w:ascii="Arial" w:hAnsi="Arial"/>
                <w:sz w:val="16"/>
                <w:szCs w:val="16"/>
              </w:rPr>
              <w:t>1,260</w:t>
            </w:r>
          </w:p>
        </w:tc>
        <w:tc>
          <w:tcPr>
            <w:tcW w:w="810" w:type="dxa"/>
            <w:tcBorders>
              <w:top w:val="single" w:sz="8" w:space="0" w:color="000000"/>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310</w:t>
            </w:r>
          </w:p>
        </w:tc>
        <w:tc>
          <w:tcPr>
            <w:tcW w:w="810" w:type="dxa"/>
            <w:tcBorders>
              <w:top w:val="single" w:sz="8" w:space="0" w:color="000000"/>
              <w:left w:val="single" w:sz="4" w:space="0" w:color="000000"/>
              <w:bottom w:val="single" w:sz="4" w:space="0" w:color="000000"/>
            </w:tcBorders>
            <w:vAlign w:val="center"/>
          </w:tcPr>
          <w:p>
            <w:pPr>
              <w:pStyle w:val="Normal"/>
              <w:tabs>
                <w:tab w:val="clear" w:pos="720"/>
                <w:tab w:val="decimal" w:pos="325" w:leader="none"/>
              </w:tabs>
              <w:spacing w:lineRule="auto" w:line="240"/>
              <w:rPr>
                <w:rFonts w:ascii="Arial" w:hAnsi="Arial" w:cs="Arial"/>
                <w:sz w:val="16"/>
                <w:szCs w:val="16"/>
              </w:rPr>
            </w:pPr>
            <w:r>
              <w:rPr>
                <w:rFonts w:cs="Arial" w:ascii="Arial" w:hAnsi="Arial"/>
                <w:sz w:val="16"/>
                <w:szCs w:val="16"/>
              </w:rPr>
              <w:t>953</w:t>
            </w:r>
          </w:p>
        </w:tc>
        <w:tc>
          <w:tcPr>
            <w:tcW w:w="977" w:type="dxa"/>
            <w:tcBorders>
              <w:top w:val="single" w:sz="8" w:space="0" w:color="000000"/>
              <w:left w:val="single" w:sz="4" w:space="0" w:color="000000"/>
              <w:bottom w:val="single" w:sz="4" w:space="0" w:color="000000"/>
              <w:right w:val="single" w:sz="4" w:space="0" w:color="000000"/>
            </w:tcBorders>
            <w:vAlign w:val="center"/>
          </w:tcPr>
          <w:p>
            <w:pPr>
              <w:pStyle w:val="Normal"/>
              <w:tabs>
                <w:tab w:val="clear" w:pos="720"/>
                <w:tab w:val="decimal" w:pos="505" w:leader="none"/>
              </w:tabs>
              <w:spacing w:lineRule="auto" w:line="240"/>
              <w:rPr>
                <w:rFonts w:ascii="Arial" w:hAnsi="Arial" w:cs="Arial"/>
                <w:sz w:val="16"/>
                <w:szCs w:val="16"/>
              </w:rPr>
            </w:pPr>
            <w:r>
              <w:rPr>
                <w:rFonts w:cs="Arial" w:ascii="Arial" w:hAnsi="Arial"/>
                <w:sz w:val="16"/>
                <w:szCs w:val="16"/>
              </w:rPr>
              <w:t>2,524</w:t>
            </w:r>
          </w:p>
        </w:tc>
      </w:tr>
    </w:tbl>
    <w:p>
      <w:pPr>
        <w:pStyle w:val="Normal"/>
        <w:rPr>
          <w:rFonts w:ascii="Arial" w:hAnsi="Arial" w:cs="Arial"/>
          <w:b/>
          <w:b/>
          <w:bCs/>
          <w:sz w:val="18"/>
          <w:szCs w:val="18"/>
        </w:rPr>
      </w:pPr>
      <w:r>
        <w:rPr>
          <w:rFonts w:cs="Arial" w:ascii="Arial" w:hAnsi="Arial"/>
          <w:b/>
          <w:bCs/>
          <w:sz w:val="18"/>
          <w:szCs w:val="18"/>
        </w:rPr>
      </w:r>
    </w:p>
    <w:p>
      <w:pPr>
        <w:pStyle w:val="Normal"/>
        <w:rPr>
          <w:rFonts w:ascii="Arial" w:hAnsi="Arial" w:cs="Arial"/>
          <w:b/>
          <w:b/>
          <w:bCs/>
          <w:sz w:val="18"/>
          <w:szCs w:val="18"/>
        </w:rPr>
      </w:pPr>
      <w:r>
        <w:rPr>
          <w:rFonts w:cs="Arial" w:ascii="Arial" w:hAnsi="Arial"/>
          <w:b/>
          <w:bCs/>
          <w:sz w:val="18"/>
          <w:szCs w:val="18"/>
        </w:rPr>
        <w:t>Data Notes:</w:t>
      </w:r>
    </w:p>
    <w:p>
      <w:pPr>
        <w:pStyle w:val="Normal"/>
        <w:spacing w:lineRule="atLeast" w:line="200"/>
        <w:jc w:val="left"/>
        <w:rPr>
          <w:rFonts w:ascii="Arial" w:hAnsi="Arial" w:cs="Arial"/>
          <w:b/>
          <w:b/>
          <w:color w:val="000000"/>
          <w:sz w:val="18"/>
        </w:rPr>
      </w:pPr>
      <w:r>
        <w:rPr>
          <w:rFonts w:cs="Arial" w:ascii="Arial" w:hAnsi="Arial"/>
          <w:sz w:val="18"/>
          <w:szCs w:val="18"/>
        </w:rPr>
        <w:t>Massachusetts included rifle or shotgun expulsions in their other counts.  Puerto Rico is missing an expulsion for one of the categories at the junior-high level.  Wisconsin did not provide information on the type of firearm for 2001-2002.  As a result, Wisconsin is excluded from this table and the overall national total differs from that reported in Table 1.</w:t>
      </w:r>
      <w:r>
        <w:br w:type="page"/>
      </w:r>
    </w:p>
    <w:p>
      <w:pPr>
        <w:pStyle w:val="TextBodyIndent"/>
        <w:spacing w:before="0" w:after="0"/>
        <w:ind w:left="0" w:hanging="0"/>
        <w:rPr>
          <w:sz w:val="20"/>
        </w:rPr>
      </w:pPr>
      <w:bookmarkStart w:id="1" w:name="RANGE!A1%3AF70"/>
      <w:r>
        <w:rPr>
          <w:rFonts w:cs="Arial"/>
          <w:b/>
          <w:bCs/>
          <w:sz w:val="20"/>
        </w:rPr>
        <w:t>Table 4</w:t>
      </w:r>
      <w:bookmarkEnd w:id="1"/>
    </w:p>
    <w:p>
      <w:pPr>
        <w:pStyle w:val="TextBodyIndent"/>
        <w:spacing w:before="0" w:after="0"/>
        <w:ind w:left="0" w:hanging="0"/>
        <w:rPr>
          <w:sz w:val="20"/>
        </w:rPr>
      </w:pPr>
      <w:r>
        <w:rPr>
          <w:rFonts w:cs="Arial"/>
          <w:sz w:val="20"/>
        </w:rPr>
        <w:t>Total number of students found to have brought a firearm to school, by state, 2000-2001 and</w:t>
        <w:br/>
        <w:t>2001-2002</w:t>
      </w:r>
    </w:p>
    <w:p>
      <w:pPr>
        <w:pStyle w:val="TextBodyIndent"/>
        <w:spacing w:before="0" w:after="0"/>
        <w:ind w:left="0" w:hanging="0"/>
        <w:rPr>
          <w:sz w:val="20"/>
        </w:rPr>
      </w:pPr>
      <w:r>
        <w:rPr>
          <w:sz w:val="20"/>
        </w:rPr>
      </w:r>
    </w:p>
    <w:tbl>
      <w:tblPr>
        <w:tblW w:w="6359" w:type="dxa"/>
        <w:jc w:val="center"/>
        <w:tblInd w:w="0" w:type="dxa"/>
        <w:tblCellMar>
          <w:top w:w="0" w:type="dxa"/>
          <w:left w:w="108" w:type="dxa"/>
          <w:bottom w:w="0" w:type="dxa"/>
          <w:right w:w="108" w:type="dxa"/>
        </w:tblCellMar>
      </w:tblPr>
      <w:tblGrid>
        <w:gridCol w:w="1898"/>
        <w:gridCol w:w="1170"/>
        <w:gridCol w:w="1097"/>
        <w:gridCol w:w="1080"/>
        <w:gridCol w:w="1109"/>
        <w:gridCol w:w="5"/>
      </w:tblGrid>
      <w:tr>
        <w:trPr>
          <w:tblHeader w:val="true"/>
        </w:trPr>
        <w:tc>
          <w:tcPr>
            <w:tcW w:w="1898" w:type="dxa"/>
            <w:tcBorders>
              <w:top w:val="single" w:sz="4" w:space="0" w:color="000000"/>
              <w:left w:val="single" w:sz="4" w:space="0" w:color="000000"/>
            </w:tcBorders>
            <w:vAlign w:val="bottom"/>
          </w:tcPr>
          <w:p>
            <w:pPr>
              <w:pStyle w:val="Normal"/>
              <w:snapToGrid w:val="false"/>
              <w:spacing w:lineRule="auto" w:line="240"/>
              <w:jc w:val="left"/>
              <w:rPr>
                <w:rFonts w:ascii="Arial" w:hAnsi="Arial" w:cs="Arial"/>
                <w:sz w:val="16"/>
                <w:szCs w:val="16"/>
              </w:rPr>
            </w:pPr>
            <w:r>
              <w:rPr>
                <w:rFonts w:cs="Arial" w:ascii="Arial" w:hAnsi="Arial"/>
                <w:sz w:val="16"/>
                <w:szCs w:val="16"/>
              </w:rPr>
            </w:r>
          </w:p>
        </w:tc>
        <w:tc>
          <w:tcPr>
            <w:tcW w:w="2267" w:type="dxa"/>
            <w:gridSpan w:val="2"/>
            <w:tcBorders>
              <w:top w:val="single" w:sz="4" w:space="0" w:color="000000"/>
              <w:lef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Year</w:t>
            </w:r>
          </w:p>
        </w:tc>
        <w:tc>
          <w:tcPr>
            <w:tcW w:w="1080" w:type="dxa"/>
            <w:tcBorders>
              <w:top w:val="single" w:sz="4" w:space="0" w:color="000000"/>
              <w:left w:val="single" w:sz="4" w:space="0" w:color="000000"/>
            </w:tcBorders>
            <w:vAlign w:val="bottom"/>
          </w:tcPr>
          <w:p>
            <w:pPr>
              <w:pStyle w:val="Normal"/>
              <w:tabs>
                <w:tab w:val="clear" w:pos="720"/>
                <w:tab w:val="decimal" w:pos="522" w:leader="none"/>
              </w:tabs>
              <w:snapToGrid w:val="false"/>
              <w:spacing w:lineRule="auto" w:line="240"/>
              <w:jc w:val="left"/>
              <w:rPr>
                <w:rFonts w:ascii="Arial" w:hAnsi="Arial" w:cs="Arial"/>
                <w:b/>
                <w:b/>
                <w:bCs/>
                <w:sz w:val="16"/>
                <w:szCs w:val="16"/>
              </w:rPr>
            </w:pPr>
            <w:r>
              <w:rPr>
                <w:rFonts w:cs="Arial" w:ascii="Arial" w:hAnsi="Arial"/>
                <w:b/>
                <w:bCs/>
                <w:sz w:val="16"/>
                <w:szCs w:val="16"/>
              </w:rPr>
            </w:r>
          </w:p>
        </w:tc>
        <w:tc>
          <w:tcPr>
            <w:tcW w:w="1114" w:type="dxa"/>
            <w:tcBorders>
              <w:top w:val="single" w:sz="4" w:space="0" w:color="000000"/>
              <w:left w:val="single" w:sz="4" w:space="0" w:color="000000"/>
              <w:right w:val="single" w:sz="4" w:space="0" w:color="000000"/>
            </w:tcBorders>
            <w:vAlign w:val="bottom"/>
          </w:tcPr>
          <w:p>
            <w:pPr>
              <w:pStyle w:val="Normal"/>
              <w:tabs>
                <w:tab w:val="clear" w:pos="720"/>
                <w:tab w:val="decimal" w:pos="522" w:leader="none"/>
              </w:tabs>
              <w:snapToGrid w:val="false"/>
              <w:spacing w:lineRule="auto" w:line="240"/>
              <w:jc w:val="left"/>
              <w:rPr>
                <w:rFonts w:ascii="Arial" w:hAnsi="Arial" w:cs="Arial"/>
                <w:sz w:val="16"/>
                <w:szCs w:val="16"/>
              </w:rPr>
            </w:pPr>
            <w:r>
              <w:rPr>
                <w:rFonts w:cs="Arial" w:ascii="Arial" w:hAnsi="Arial"/>
                <w:sz w:val="16"/>
                <w:szCs w:val="16"/>
              </w:rPr>
            </w:r>
          </w:p>
        </w:tc>
      </w:tr>
      <w:tr>
        <w:trPr>
          <w:tblHeader w:val="true"/>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b/>
                <w:b/>
                <w:bCs/>
                <w:sz w:val="16"/>
                <w:szCs w:val="16"/>
              </w:rPr>
            </w:pPr>
            <w:r>
              <w:rPr>
                <w:rFonts w:cs="Arial" w:ascii="Arial" w:hAnsi="Arial"/>
                <w:b/>
                <w:bCs/>
                <w:sz w:val="16"/>
                <w:szCs w:val="16"/>
              </w:rPr>
              <w:t>State/Outlying Area</w:t>
            </w:r>
          </w:p>
        </w:tc>
        <w:tc>
          <w:tcPr>
            <w:tcW w:w="1170" w:type="dxa"/>
            <w:tcBorders>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2000-2001</w:t>
            </w:r>
          </w:p>
        </w:tc>
        <w:tc>
          <w:tcPr>
            <w:tcW w:w="1097" w:type="dxa"/>
            <w:tcBorders>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2001-2002</w:t>
            </w:r>
          </w:p>
        </w:tc>
        <w:tc>
          <w:tcPr>
            <w:tcW w:w="1080" w:type="dxa"/>
            <w:tcBorders>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 Change</w:t>
            </w:r>
          </w:p>
        </w:tc>
        <w:tc>
          <w:tcPr>
            <w:tcW w:w="1114" w:type="dxa"/>
            <w:tcBorders>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 Change</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Alabama</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200</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138</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-62</w:t>
            </w:r>
          </w:p>
        </w:tc>
        <w:tc>
          <w:tcPr>
            <w:tcW w:w="1114" w:type="dxa"/>
            <w:tcBorders>
              <w:top w:val="single" w:sz="4" w:space="0" w:color="000000"/>
              <w:left w:val="single" w:sz="4" w:space="0" w:color="000000"/>
              <w:right w:val="single" w:sz="4" w:space="0" w:color="000000"/>
            </w:tcBorders>
            <w:vAlign w:val="center"/>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-31%</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Alaska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55</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45</w:t>
            </w:r>
          </w:p>
        </w:tc>
        <w:tc>
          <w:tcPr>
            <w:tcW w:w="1114" w:type="dxa"/>
            <w:tcBorders>
              <w:left w:val="single" w:sz="4" w:space="0" w:color="000000"/>
              <w:right w:val="single" w:sz="4" w:space="0" w:color="000000"/>
            </w:tcBorders>
            <w:vAlign w:val="center"/>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450%</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Arizona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131</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124</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-7</w:t>
            </w:r>
          </w:p>
        </w:tc>
        <w:tc>
          <w:tcPr>
            <w:tcW w:w="1114" w:type="dxa"/>
            <w:tcBorders>
              <w:left w:val="single" w:sz="4" w:space="0" w:color="000000"/>
              <w:right w:val="single" w:sz="4" w:space="0" w:color="000000"/>
            </w:tcBorders>
            <w:vAlign w:val="center"/>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-5%</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Arkansas</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32</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80</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48</w:t>
            </w:r>
          </w:p>
        </w:tc>
        <w:tc>
          <w:tcPr>
            <w:tcW w:w="1114" w:type="dxa"/>
            <w:tcBorders>
              <w:left w:val="single" w:sz="4" w:space="0" w:color="000000"/>
              <w:right w:val="single" w:sz="4" w:space="0" w:color="000000"/>
            </w:tcBorders>
            <w:vAlign w:val="center"/>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150%</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123</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104</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-20</w:t>
            </w:r>
          </w:p>
        </w:tc>
        <w:tc>
          <w:tcPr>
            <w:tcW w:w="1114" w:type="dxa"/>
            <w:tcBorders>
              <w:left w:val="single" w:sz="4" w:space="0" w:color="000000"/>
              <w:bottom w:val="single" w:sz="4" w:space="0" w:color="000000"/>
              <w:right w:val="single" w:sz="4" w:space="0" w:color="000000"/>
            </w:tcBorders>
            <w:vAlign w:val="center"/>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-16%</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24</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31</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7</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29%</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8</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200%</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95</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51</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-44</w:t>
            </w:r>
          </w:p>
        </w:tc>
        <w:tc>
          <w:tcPr>
            <w:tcW w:w="1114"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-46%</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111</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119</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8</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7%</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7</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0%</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17</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21</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24%</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32</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53</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21</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66%</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21</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41</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20</w:t>
            </w:r>
          </w:p>
        </w:tc>
        <w:tc>
          <w:tcPr>
            <w:tcW w:w="1114"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95%</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11</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-18%</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36</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32</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-11%</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46</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39</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557%</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113</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75</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-38</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-34%</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w:t>
            </w:r>
          </w:p>
        </w:tc>
        <w:tc>
          <w:tcPr>
            <w:tcW w:w="1114"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100%</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26</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21</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-5</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-19%</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18</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89</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71</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394%</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46</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-44</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-49%</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12</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23</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11</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92%</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64</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67</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w:t>
            </w:r>
          </w:p>
        </w:tc>
        <w:tc>
          <w:tcPr>
            <w:tcW w:w="1114"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5%</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49</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59</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10</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20%</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Montana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12</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31</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19</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158%</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11</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-5</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-45%</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58</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56</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w:t>
            </w:r>
          </w:p>
        </w:tc>
      </w:tr>
      <w:tr>
        <w:trPr/>
        <w:tc>
          <w:tcPr>
            <w:tcW w:w="189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1170"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w:t>
            </w:r>
          </w:p>
        </w:tc>
        <w:tc>
          <w:tcPr>
            <w:tcW w:w="1097" w:type="dxa"/>
            <w:tcBorders>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80" w:type="dxa"/>
            <w:tcBorders>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-5</w:t>
            </w:r>
          </w:p>
        </w:tc>
        <w:tc>
          <w:tcPr>
            <w:tcW w:w="1114"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-100%</w:t>
            </w:r>
          </w:p>
        </w:tc>
      </w:tr>
      <w:tr>
        <w:trPr/>
        <w:tc>
          <w:tcPr>
            <w:tcW w:w="189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1170"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13</w:t>
            </w:r>
          </w:p>
        </w:tc>
        <w:tc>
          <w:tcPr>
            <w:tcW w:w="1097" w:type="dxa"/>
            <w:tcBorders>
              <w:top w:val="single" w:sz="4"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16</w:t>
            </w:r>
          </w:p>
        </w:tc>
        <w:tc>
          <w:tcPr>
            <w:tcW w:w="1080" w:type="dxa"/>
            <w:tcBorders>
              <w:top w:val="single" w:sz="4"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w:t>
            </w:r>
          </w:p>
        </w:tc>
        <w:tc>
          <w:tcPr>
            <w:tcW w:w="1114"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23%</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32</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20</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-12</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-38%</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89</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88</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25</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28%</w:t>
            </w:r>
          </w:p>
        </w:tc>
      </w:tr>
      <w:tr>
        <w:trPr/>
        <w:tc>
          <w:tcPr>
            <w:tcW w:w="189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77</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92</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15</w:t>
            </w:r>
          </w:p>
        </w:tc>
        <w:tc>
          <w:tcPr>
            <w:tcW w:w="1114" w:type="dxa"/>
            <w:tcBorders>
              <w:left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19%</w:t>
            </w:r>
          </w:p>
        </w:tc>
      </w:tr>
      <w:tr>
        <w:trPr/>
        <w:tc>
          <w:tcPr>
            <w:tcW w:w="1898" w:type="dxa"/>
            <w:tcBorders>
              <w:left w:val="single" w:sz="4"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1170" w:type="dxa"/>
            <w:tcBorders>
              <w:left w:val="single" w:sz="4"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w:t>
            </w:r>
          </w:p>
        </w:tc>
        <w:tc>
          <w:tcPr>
            <w:tcW w:w="1097" w:type="dxa"/>
            <w:tcBorders>
              <w:left w:val="single" w:sz="4"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w:t>
            </w:r>
          </w:p>
        </w:tc>
        <w:tc>
          <w:tcPr>
            <w:tcW w:w="1080" w:type="dxa"/>
            <w:tcBorders>
              <w:left w:val="single" w:sz="4" w:space="0" w:color="000000"/>
              <w:bottom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w:t>
            </w:r>
          </w:p>
        </w:tc>
        <w:tc>
          <w:tcPr>
            <w:tcW w:w="1114" w:type="dxa"/>
            <w:tcBorders>
              <w:left w:val="single" w:sz="4" w:space="0" w:color="000000"/>
              <w:bottom w:val="single" w:sz="2"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33%</w:t>
            </w:r>
          </w:p>
        </w:tc>
      </w:tr>
      <w:tr>
        <w:trPr/>
        <w:tc>
          <w:tcPr>
            <w:tcW w:w="189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Ohio</w:t>
            </w:r>
          </w:p>
        </w:tc>
        <w:tc>
          <w:tcPr>
            <w:tcW w:w="1170" w:type="dxa"/>
            <w:tcBorders>
              <w:top w:val="single" w:sz="2"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135</w:t>
            </w:r>
          </w:p>
        </w:tc>
        <w:tc>
          <w:tcPr>
            <w:tcW w:w="1097" w:type="dxa"/>
            <w:tcBorders>
              <w:top w:val="single" w:sz="2" w:space="0" w:color="000000"/>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53</w:t>
            </w:r>
          </w:p>
        </w:tc>
        <w:tc>
          <w:tcPr>
            <w:tcW w:w="1080" w:type="dxa"/>
            <w:tcBorders>
              <w:top w:val="single" w:sz="2" w:space="0" w:color="000000"/>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-82</w:t>
            </w:r>
          </w:p>
        </w:tc>
        <w:tc>
          <w:tcPr>
            <w:tcW w:w="1109" w:type="dxa"/>
            <w:tcBorders>
              <w:top w:val="single" w:sz="2" w:space="0" w:color="000000"/>
              <w:left w:val="single" w:sz="4"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-61%</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13</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60</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47</w:t>
            </w:r>
          </w:p>
        </w:tc>
        <w:tc>
          <w:tcPr>
            <w:tcW w:w="1109" w:type="dxa"/>
            <w:tcBorders>
              <w:left w:val="single" w:sz="4"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362%</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1170"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40</w:t>
            </w:r>
          </w:p>
        </w:tc>
        <w:tc>
          <w:tcPr>
            <w:tcW w:w="1097" w:type="dxa"/>
            <w:tcBorders>
              <w:left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55</w:t>
            </w:r>
          </w:p>
        </w:tc>
        <w:tc>
          <w:tcPr>
            <w:tcW w:w="1080" w:type="dxa"/>
            <w:tcBorders>
              <w:left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15</w:t>
            </w:r>
          </w:p>
        </w:tc>
        <w:tc>
          <w:tcPr>
            <w:tcW w:w="1109" w:type="dxa"/>
            <w:tcBorders>
              <w:left w:val="single" w:sz="4"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38%</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40</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36</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-10%</w:t>
            </w:r>
          </w:p>
        </w:tc>
      </w:tr>
      <w:tr>
        <w:trPr/>
        <w:tc>
          <w:tcPr>
            <w:tcW w:w="189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1170"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w:t>
            </w:r>
          </w:p>
        </w:tc>
        <w:tc>
          <w:tcPr>
            <w:tcW w:w="1080" w:type="dxa"/>
            <w:tcBorders>
              <w:left w:val="single" w:sz="2" w:space="0" w:color="000000"/>
              <w:bottom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4</w:t>
            </w:r>
          </w:p>
        </w:tc>
        <w:tc>
          <w:tcPr>
            <w:tcW w:w="1109"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w:t>
            </w:r>
          </w:p>
        </w:tc>
      </w:tr>
      <w:tr>
        <w:trPr/>
        <w:tc>
          <w:tcPr>
            <w:tcW w:w="189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1170"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w:t>
            </w:r>
          </w:p>
        </w:tc>
        <w:tc>
          <w:tcPr>
            <w:tcW w:w="1097"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w:t>
            </w:r>
          </w:p>
        </w:tc>
        <w:tc>
          <w:tcPr>
            <w:tcW w:w="1080" w:type="dxa"/>
            <w:tcBorders>
              <w:top w:val="single" w:sz="2" w:space="0" w:color="000000"/>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w:t>
            </w:r>
          </w:p>
        </w:tc>
        <w:tc>
          <w:tcPr>
            <w:tcW w:w="1109"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-22%</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43</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34</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-9</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-21%</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-29%</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88</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80</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-8</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-9%</w:t>
            </w:r>
          </w:p>
        </w:tc>
      </w:tr>
      <w:tr>
        <w:trPr/>
        <w:tc>
          <w:tcPr>
            <w:tcW w:w="189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1170"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204</w:t>
            </w:r>
          </w:p>
        </w:tc>
        <w:tc>
          <w:tcPr>
            <w:tcW w:w="1097"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177</w:t>
            </w:r>
          </w:p>
        </w:tc>
        <w:tc>
          <w:tcPr>
            <w:tcW w:w="1080" w:type="dxa"/>
            <w:tcBorders>
              <w:left w:val="single" w:sz="2" w:space="0" w:color="000000"/>
              <w:bottom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-27</w:t>
            </w:r>
          </w:p>
        </w:tc>
        <w:tc>
          <w:tcPr>
            <w:tcW w:w="1109"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-13%</w:t>
            </w:r>
          </w:p>
        </w:tc>
      </w:tr>
      <w:tr>
        <w:trPr/>
        <w:tc>
          <w:tcPr>
            <w:tcW w:w="189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1170"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53</w:t>
            </w:r>
          </w:p>
        </w:tc>
        <w:tc>
          <w:tcPr>
            <w:tcW w:w="1097"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83</w:t>
            </w:r>
          </w:p>
        </w:tc>
        <w:tc>
          <w:tcPr>
            <w:tcW w:w="1080" w:type="dxa"/>
            <w:tcBorders>
              <w:top w:val="single" w:sz="2" w:space="0" w:color="000000"/>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30</w:t>
            </w:r>
          </w:p>
        </w:tc>
        <w:tc>
          <w:tcPr>
            <w:tcW w:w="1109"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57%</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0</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0%</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204</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197</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-7</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106</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92</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-14</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-13%</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12</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-6</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-50%</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46</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30</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-16</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-35%</w:t>
            </w:r>
          </w:p>
        </w:tc>
      </w:tr>
      <w:tr>
        <w:trPr/>
        <w:tc>
          <w:tcPr>
            <w:tcW w:w="189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1170"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6</w:t>
            </w:r>
          </w:p>
        </w:tc>
        <w:tc>
          <w:tcPr>
            <w:tcW w:w="1097" w:type="dxa"/>
            <w:tcBorders>
              <w:left w:val="single" w:sz="2" w:space="0" w:color="000000"/>
              <w:bottom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7</w:t>
            </w:r>
          </w:p>
        </w:tc>
        <w:tc>
          <w:tcPr>
            <w:tcW w:w="1080" w:type="dxa"/>
            <w:tcBorders>
              <w:left w:val="single" w:sz="2" w:space="0" w:color="000000"/>
              <w:bottom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w:t>
            </w:r>
          </w:p>
        </w:tc>
        <w:tc>
          <w:tcPr>
            <w:tcW w:w="1109"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17%</w:t>
            </w:r>
          </w:p>
        </w:tc>
      </w:tr>
      <w:tr>
        <w:trPr/>
        <w:tc>
          <w:tcPr>
            <w:tcW w:w="189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1170"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top w:val="single" w:sz="2" w:space="0" w:color="000000"/>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80" w:type="dxa"/>
            <w:tcBorders>
              <w:top w:val="single" w:sz="2" w:space="0" w:color="000000"/>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0</w:t>
            </w:r>
          </w:p>
        </w:tc>
        <w:tc>
          <w:tcPr>
            <w:tcW w:w="1109"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0%</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1</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w:t>
            </w:r>
          </w:p>
        </w:tc>
      </w:tr>
      <w:tr>
        <w:trPr/>
        <w:tc>
          <w:tcPr>
            <w:tcW w:w="189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1170"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97" w:type="dxa"/>
            <w:tcBorders>
              <w:left w:val="single" w:sz="2"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0</w:t>
            </w:r>
          </w:p>
        </w:tc>
        <w:tc>
          <w:tcPr>
            <w:tcW w:w="1080" w:type="dxa"/>
            <w:tcBorders>
              <w:left w:val="single" w:sz="2"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0</w:t>
            </w:r>
          </w:p>
        </w:tc>
        <w:tc>
          <w:tcPr>
            <w:tcW w:w="1109" w:type="dxa"/>
            <w:tcBorders>
              <w:left w:val="single" w:sz="2"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0%</w:t>
            </w:r>
          </w:p>
        </w:tc>
      </w:tr>
      <w:tr>
        <w:trPr/>
        <w:tc>
          <w:tcPr>
            <w:tcW w:w="1898" w:type="dxa"/>
            <w:tcBorders>
              <w:left w:val="single" w:sz="2" w:space="0" w:color="000000"/>
              <w:bottom w:val="single" w:sz="8"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1170" w:type="dxa"/>
            <w:tcBorders>
              <w:left w:val="single" w:sz="2" w:space="0" w:color="000000"/>
              <w:bottom w:val="single" w:sz="8"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w:t>
            </w:r>
          </w:p>
        </w:tc>
        <w:tc>
          <w:tcPr>
            <w:tcW w:w="1097" w:type="dxa"/>
            <w:tcBorders>
              <w:left w:val="single" w:sz="2" w:space="0" w:color="000000"/>
              <w:bottom w:val="single" w:sz="8"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4</w:t>
            </w:r>
          </w:p>
        </w:tc>
        <w:tc>
          <w:tcPr>
            <w:tcW w:w="1080" w:type="dxa"/>
            <w:tcBorders>
              <w:left w:val="single" w:sz="2" w:space="0" w:color="000000"/>
              <w:bottom w:val="single" w:sz="8"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0</w:t>
            </w:r>
          </w:p>
        </w:tc>
        <w:tc>
          <w:tcPr>
            <w:tcW w:w="1109" w:type="dxa"/>
            <w:tcBorders>
              <w:left w:val="single" w:sz="2" w:space="0" w:color="000000"/>
              <w:bottom w:val="single" w:sz="8" w:space="0" w:color="000000"/>
              <w:right w:val="single" w:sz="2"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0%</w:t>
            </w:r>
          </w:p>
        </w:tc>
      </w:tr>
      <w:tr>
        <w:trPr/>
        <w:tc>
          <w:tcPr>
            <w:tcW w:w="1898" w:type="dxa"/>
            <w:tcBorders>
              <w:top w:val="single" w:sz="8" w:space="0" w:color="000000"/>
              <w:left w:val="single" w:sz="4" w:space="0" w:color="000000"/>
              <w:bottom w:val="single" w:sz="4" w:space="0" w:color="000000"/>
            </w:tcBorders>
            <w:vAlign w:val="center"/>
          </w:tcPr>
          <w:p>
            <w:pPr>
              <w:pStyle w:val="Normal"/>
              <w:spacing w:lineRule="auto" w:line="240"/>
              <w:jc w:val="left"/>
              <w:rPr>
                <w:rFonts w:ascii="Arial" w:hAnsi="Arial" w:cs="Arial"/>
                <w:sz w:val="16"/>
                <w:szCs w:val="16"/>
              </w:rPr>
            </w:pPr>
            <w:r>
              <w:rPr>
                <w:rFonts w:cs="Arial" w:ascii="Arial" w:hAnsi="Arial"/>
                <w:sz w:val="16"/>
                <w:szCs w:val="16"/>
              </w:rPr>
              <w:t>Total</w:t>
            </w:r>
          </w:p>
        </w:tc>
        <w:tc>
          <w:tcPr>
            <w:tcW w:w="1170" w:type="dxa"/>
            <w:tcBorders>
              <w:top w:val="single" w:sz="8" w:space="0" w:color="000000"/>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2,537</w:t>
            </w:r>
          </w:p>
        </w:tc>
        <w:tc>
          <w:tcPr>
            <w:tcW w:w="1097" w:type="dxa"/>
            <w:tcBorders>
              <w:top w:val="single" w:sz="8" w:space="0" w:color="000000"/>
              <w:left w:val="single" w:sz="4" w:space="0" w:color="000000"/>
              <w:bottom w:val="single" w:sz="4" w:space="0" w:color="000000"/>
            </w:tcBorders>
            <w:vAlign w:val="center"/>
          </w:tcPr>
          <w:p>
            <w:pPr>
              <w:pStyle w:val="Normal"/>
              <w:tabs>
                <w:tab w:val="clear" w:pos="720"/>
                <w:tab w:val="decimal" w:pos="539" w:leader="none"/>
              </w:tabs>
              <w:spacing w:lineRule="auto" w:line="240"/>
              <w:jc w:val="left"/>
              <w:rPr>
                <w:rFonts w:ascii="Arial" w:hAnsi="Arial" w:cs="Arial"/>
                <w:sz w:val="16"/>
                <w:szCs w:val="16"/>
              </w:rPr>
            </w:pPr>
            <w:r>
              <w:rPr>
                <w:rFonts w:cs="Arial" w:ascii="Arial" w:hAnsi="Arial"/>
                <w:sz w:val="16"/>
                <w:szCs w:val="16"/>
              </w:rPr>
              <w:t>2,554</w:t>
            </w:r>
          </w:p>
        </w:tc>
        <w:tc>
          <w:tcPr>
            <w:tcW w:w="1080" w:type="dxa"/>
            <w:tcBorders>
              <w:top w:val="single" w:sz="8" w:space="0" w:color="000000"/>
              <w:left w:val="single" w:sz="4" w:space="0" w:color="000000"/>
              <w:bottom w:val="single" w:sz="4" w:space="0" w:color="000000"/>
            </w:tcBorders>
            <w:vAlign w:val="center"/>
          </w:tcPr>
          <w:p>
            <w:pPr>
              <w:pStyle w:val="Normal"/>
              <w:tabs>
                <w:tab w:val="clear" w:pos="720"/>
                <w:tab w:val="decimal" w:pos="522" w:leader="none"/>
              </w:tabs>
              <w:spacing w:lineRule="auto" w:line="240"/>
              <w:jc w:val="left"/>
              <w:rPr>
                <w:rFonts w:ascii="Arial" w:hAnsi="Arial" w:cs="Arial"/>
                <w:sz w:val="16"/>
                <w:szCs w:val="16"/>
              </w:rPr>
            </w:pPr>
            <w:r>
              <w:rPr>
                <w:rFonts w:cs="Arial" w:ascii="Arial" w:hAnsi="Arial"/>
                <w:sz w:val="16"/>
                <w:szCs w:val="16"/>
              </w:rPr>
              <w:t>17</w:t>
            </w:r>
          </w:p>
        </w:tc>
        <w:tc>
          <w:tcPr>
            <w:tcW w:w="1114" w:type="dxa"/>
            <w:tcBorders>
              <w:top w:val="single" w:sz="8" w:space="0" w:color="000000"/>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left"/>
              <w:rPr>
                <w:rFonts w:ascii="Arial" w:hAnsi="Arial" w:cs="Arial"/>
                <w:sz w:val="16"/>
                <w:szCs w:val="16"/>
              </w:rPr>
            </w:pPr>
            <w:r>
              <w:rPr>
                <w:rFonts w:cs="Arial" w:ascii="Arial" w:hAnsi="Arial"/>
                <w:sz w:val="16"/>
                <w:szCs w:val="16"/>
              </w:rPr>
              <w:t>1%</w:t>
            </w:r>
          </w:p>
        </w:tc>
      </w:tr>
    </w:tbl>
    <w:p>
      <w:pPr>
        <w:pStyle w:val="TextBodyIndent"/>
        <w:spacing w:before="0" w:after="0"/>
        <w:ind w:left="0" w:hanging="0"/>
        <w:rPr>
          <w:rFonts w:cs="Arial"/>
          <w:b/>
          <w:b/>
          <w:bCs/>
          <w:szCs w:val="18"/>
        </w:rPr>
      </w:pPr>
      <w:r>
        <w:rPr>
          <w:rFonts w:cs="Arial"/>
          <w:b/>
          <w:bCs/>
          <w:szCs w:val="18"/>
        </w:rPr>
      </w:r>
    </w:p>
    <w:p>
      <w:pPr>
        <w:pStyle w:val="TextBodyIndent"/>
        <w:spacing w:before="0" w:after="0"/>
        <w:ind w:left="0" w:hanging="0"/>
        <w:rPr>
          <w:rFonts w:cs="Arial"/>
          <w:b/>
          <w:b/>
          <w:bCs/>
          <w:szCs w:val="18"/>
        </w:rPr>
      </w:pPr>
      <w:r>
        <w:rPr>
          <w:rFonts w:cs="Arial"/>
          <w:b/>
          <w:bCs/>
          <w:szCs w:val="18"/>
        </w:rPr>
        <w:t>Data Notes:</w:t>
      </w:r>
    </w:p>
    <w:p>
      <w:pPr>
        <w:pStyle w:val="TextBodyIndent"/>
        <w:spacing w:before="0" w:after="0"/>
        <w:ind w:left="0" w:hanging="0"/>
        <w:rPr>
          <w:rFonts w:cs="Arial"/>
          <w:szCs w:val="18"/>
        </w:rPr>
      </w:pPr>
      <w:r>
        <w:rPr>
          <w:rFonts w:cs="Arial"/>
          <w:szCs w:val="18"/>
        </w:rPr>
        <w:t>--The percentage change cannot be calculated.</w:t>
      </w:r>
    </w:p>
    <w:p>
      <w:pPr>
        <w:pStyle w:val="TextBodyIndent"/>
        <w:spacing w:before="0" w:after="0"/>
        <w:ind w:left="0" w:hanging="0"/>
        <w:rPr>
          <w:rFonts w:cs="Arial"/>
          <w:szCs w:val="18"/>
        </w:rPr>
      </w:pPr>
      <w:r>
        <w:rPr>
          <w:rFonts w:cs="Arial"/>
          <w:szCs w:val="18"/>
        </w:rPr>
        <w:t>Eight states (Connecticut, Maryland, Ohio, Oklahoma, Pennsylvania, South Dakota, Washington, and Wisconsin) revised their 2000-2001 data from previously published numbers.</w:t>
      </w:r>
      <w:r>
        <w:br w:type="page"/>
      </w:r>
    </w:p>
    <w:p>
      <w:pPr>
        <w:pStyle w:val="TextBodyIndent"/>
        <w:spacing w:before="0" w:after="0"/>
        <w:ind w:left="0" w:hanging="0"/>
        <w:rPr>
          <w:sz w:val="20"/>
        </w:rPr>
      </w:pPr>
      <w:bookmarkStart w:id="2" w:name="RANGE!A1%3AD63"/>
      <w:r>
        <w:rPr>
          <w:rFonts w:cs="Arial"/>
          <w:b/>
          <w:bCs/>
          <w:sz w:val="20"/>
        </w:rPr>
        <w:t>Table 5</w:t>
      </w:r>
      <w:bookmarkEnd w:id="2"/>
    </w:p>
    <w:p>
      <w:pPr>
        <w:pStyle w:val="TextBodyIndent"/>
        <w:spacing w:before="0" w:after="0"/>
        <w:ind w:left="0" w:hanging="0"/>
        <w:rPr>
          <w:sz w:val="20"/>
        </w:rPr>
      </w:pPr>
      <w:r>
        <w:rPr>
          <w:rFonts w:cs="Arial"/>
          <w:sz w:val="20"/>
        </w:rPr>
        <w:t>Number and percent of students found to have brought a firearm to school for which the 1-year expulsion was shortened on a case-by-case basis, 2001-2002</w:t>
      </w:r>
    </w:p>
    <w:p>
      <w:pPr>
        <w:pStyle w:val="TextBodyIndent"/>
        <w:spacing w:before="0" w:after="0"/>
        <w:ind w:left="0" w:hanging="0"/>
        <w:rPr>
          <w:sz w:val="20"/>
        </w:rPr>
      </w:pPr>
      <w:r>
        <w:rPr>
          <w:sz w:val="20"/>
        </w:rPr>
      </w:r>
    </w:p>
    <w:tbl>
      <w:tblPr>
        <w:tblW w:w="7120" w:type="dxa"/>
        <w:jc w:val="left"/>
        <w:tblInd w:w="733" w:type="dxa"/>
        <w:tblCellMar>
          <w:top w:w="0" w:type="dxa"/>
          <w:left w:w="108" w:type="dxa"/>
          <w:bottom w:w="0" w:type="dxa"/>
          <w:right w:w="108" w:type="dxa"/>
        </w:tblCellMar>
      </w:tblPr>
      <w:tblGrid>
        <w:gridCol w:w="1980"/>
        <w:gridCol w:w="1620"/>
        <w:gridCol w:w="1733"/>
        <w:gridCol w:w="1782"/>
        <w:gridCol w:w="5"/>
      </w:tblGrid>
      <w:tr>
        <w:trPr/>
        <w:tc>
          <w:tcPr>
            <w:tcW w:w="1980" w:type="dxa"/>
            <w:tcBorders>
              <w:top w:val="single" w:sz="4" w:space="0" w:color="000000"/>
              <w:left w:val="single" w:sz="4" w:space="0" w:color="000000"/>
              <w:bottom w:val="single" w:sz="4" w:space="0" w:color="000000"/>
            </w:tcBorders>
            <w:vAlign w:val="bottom"/>
          </w:tcPr>
          <w:p>
            <w:pPr>
              <w:pStyle w:val="Normal"/>
              <w:spacing w:lineRule="auto" w:line="240"/>
              <w:jc w:val="left"/>
              <w:rPr>
                <w:rFonts w:ascii="Arial" w:hAnsi="Arial" w:cs="Arial"/>
                <w:b/>
                <w:b/>
                <w:bCs/>
                <w:sz w:val="16"/>
                <w:szCs w:val="16"/>
              </w:rPr>
            </w:pPr>
            <w:r>
              <w:rPr>
                <w:rFonts w:cs="Arial" w:ascii="Arial" w:hAnsi="Arial"/>
                <w:b/>
                <w:bCs/>
                <w:sz w:val="16"/>
                <w:szCs w:val="16"/>
              </w:rPr>
              <w:t>State/Outlying Area</w:t>
            </w:r>
          </w:p>
        </w:tc>
        <w:tc>
          <w:tcPr>
            <w:tcW w:w="162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Number of Expulsions</w:t>
            </w:r>
          </w:p>
        </w:tc>
        <w:tc>
          <w:tcPr>
            <w:tcW w:w="1733"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Number shortened</w:t>
            </w:r>
          </w:p>
        </w:tc>
        <w:tc>
          <w:tcPr>
            <w:tcW w:w="178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Percent shortened</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Alabama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138</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16</w:t>
            </w:r>
          </w:p>
        </w:tc>
        <w:tc>
          <w:tcPr>
            <w:tcW w:w="1787" w:type="dxa"/>
            <w:tcBorders>
              <w:top w:val="single" w:sz="4" w:space="0" w:color="000000"/>
              <w:left w:val="single" w:sz="4" w:space="0" w:color="000000"/>
              <w:right w:val="single" w:sz="4" w:space="0" w:color="000000"/>
            </w:tcBorders>
            <w:vAlign w:val="center"/>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12%</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Alaska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55</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11%</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Arizona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124</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63</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51%</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Arkansas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80</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104</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20</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19%</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color w:val="000000"/>
                <w:sz w:val="16"/>
                <w:szCs w:val="16"/>
              </w:rPr>
            </w:pPr>
            <w:r>
              <w:rPr>
                <w:rFonts w:cs="Arial" w:ascii="Arial" w:hAnsi="Arial"/>
                <w:color w:val="000000"/>
                <w:sz w:val="16"/>
                <w:szCs w:val="16"/>
              </w:rPr>
              <w:t>31</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color w:val="000000"/>
                <w:sz w:val="16"/>
                <w:szCs w:val="16"/>
              </w:rPr>
            </w:pPr>
            <w:r>
              <w:rPr>
                <w:rFonts w:cs="Arial" w:ascii="Arial" w:hAnsi="Arial"/>
                <w:color w:val="000000"/>
                <w:sz w:val="16"/>
                <w:szCs w:val="16"/>
              </w:rPr>
              <w:t>10</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color w:val="000000"/>
                <w:sz w:val="16"/>
                <w:szCs w:val="16"/>
              </w:rPr>
            </w:pPr>
            <w:r>
              <w:rPr>
                <w:rFonts w:cs="Arial" w:ascii="Arial" w:hAnsi="Arial"/>
                <w:color w:val="000000"/>
                <w:sz w:val="16"/>
                <w:szCs w:val="16"/>
              </w:rPr>
              <w:t>32%</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color w:val="000000"/>
                <w:sz w:val="16"/>
                <w:szCs w:val="16"/>
              </w:rPr>
            </w:pPr>
            <w:r>
              <w:rPr>
                <w:rFonts w:cs="Arial" w:ascii="Arial" w:hAnsi="Arial"/>
                <w:color w:val="000000"/>
                <w:sz w:val="16"/>
                <w:szCs w:val="16"/>
              </w:rPr>
              <w:t>8</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color w:val="000000"/>
                <w:sz w:val="16"/>
                <w:szCs w:val="16"/>
              </w:rPr>
            </w:pPr>
            <w:r>
              <w:rPr>
                <w:rFonts w:cs="Arial" w:ascii="Arial" w:hAnsi="Arial"/>
                <w:color w:val="000000"/>
                <w:sz w:val="16"/>
                <w:szCs w:val="16"/>
              </w:rPr>
              <w:t>0</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color w:val="000000"/>
                <w:sz w:val="16"/>
                <w:szCs w:val="16"/>
              </w:rPr>
            </w:pPr>
            <w:r>
              <w:rPr>
                <w:rFonts w:cs="Arial" w:ascii="Arial" w:hAnsi="Arial"/>
                <w:color w:val="000000"/>
                <w:sz w:val="16"/>
                <w:szCs w:val="16"/>
              </w:rPr>
              <w:t>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33%</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51</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18%</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119</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36</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21</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48%</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53</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13</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25%</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41</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29%</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44%</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32</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38%</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46</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9%</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24</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32%</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21</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29%</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89</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29</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33%</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46</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26%</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23</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20</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87%</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67</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37</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55%</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59</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15%</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Montana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31</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50%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56</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18%</w:t>
            </w:r>
          </w:p>
        </w:tc>
      </w:tr>
      <w:tr>
        <w:trPr/>
        <w:tc>
          <w:tcPr>
            <w:tcW w:w="198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33"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7" w:type="dxa"/>
            <w:tcBorders>
              <w:left w:val="single" w:sz="4" w:space="0" w:color="000000"/>
              <w:bottom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16</w:t>
            </w:r>
          </w:p>
        </w:tc>
        <w:tc>
          <w:tcPr>
            <w:tcW w:w="1733"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87" w:type="dxa"/>
            <w:tcBorders>
              <w:top w:val="single" w:sz="4" w:space="0" w:color="000000"/>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6%</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20</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88</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53</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60%</w:t>
            </w:r>
          </w:p>
        </w:tc>
      </w:tr>
      <w:tr>
        <w:trPr/>
        <w:tc>
          <w:tcPr>
            <w:tcW w:w="198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92</w:t>
            </w:r>
          </w:p>
        </w:tc>
        <w:tc>
          <w:tcPr>
            <w:tcW w:w="1733"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63</w:t>
            </w:r>
          </w:p>
        </w:tc>
        <w:tc>
          <w:tcPr>
            <w:tcW w:w="1787" w:type="dxa"/>
            <w:tcBorders>
              <w:left w:val="single" w:sz="4"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68%</w:t>
            </w:r>
          </w:p>
        </w:tc>
      </w:tr>
      <w:tr>
        <w:trPr/>
        <w:tc>
          <w:tcPr>
            <w:tcW w:w="1980" w:type="dxa"/>
            <w:tcBorders>
              <w:left w:val="single" w:sz="4"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1620" w:type="dxa"/>
            <w:tcBorders>
              <w:left w:val="single" w:sz="4"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33" w:type="dxa"/>
            <w:tcBorders>
              <w:left w:val="single" w:sz="4"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87" w:type="dxa"/>
            <w:tcBorders>
              <w:left w:val="single" w:sz="4" w:space="0" w:color="000000"/>
              <w:bottom w:val="single" w:sz="2" w:space="0" w:color="000000"/>
              <w:right w:val="single" w:sz="4"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100%</w:t>
            </w:r>
          </w:p>
        </w:tc>
      </w:tr>
      <w:tr>
        <w:trPr/>
        <w:tc>
          <w:tcPr>
            <w:tcW w:w="198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Ohio</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53</w:t>
            </w:r>
          </w:p>
        </w:tc>
        <w:tc>
          <w:tcPr>
            <w:tcW w:w="1733"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42</w:t>
            </w:r>
          </w:p>
        </w:tc>
        <w:tc>
          <w:tcPr>
            <w:tcW w:w="1782"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79%</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60</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15</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25%</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55</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25</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45%</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36</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14</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39%</w:t>
            </w:r>
          </w:p>
        </w:tc>
      </w:tr>
      <w:tr>
        <w:trPr/>
        <w:tc>
          <w:tcPr>
            <w:tcW w:w="198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33"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82"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100%</w:t>
            </w:r>
          </w:p>
        </w:tc>
      </w:tr>
      <w:tr>
        <w:trPr/>
        <w:tc>
          <w:tcPr>
            <w:tcW w:w="198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733"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782"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100%</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34</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9%</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100%</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80</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33</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41%</w:t>
            </w:r>
          </w:p>
        </w:tc>
      </w:tr>
      <w:tr>
        <w:trPr/>
        <w:tc>
          <w:tcPr>
            <w:tcW w:w="198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177</w:t>
            </w:r>
          </w:p>
        </w:tc>
        <w:tc>
          <w:tcPr>
            <w:tcW w:w="1733"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76</w:t>
            </w:r>
          </w:p>
        </w:tc>
        <w:tc>
          <w:tcPr>
            <w:tcW w:w="1782"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43%</w:t>
            </w:r>
          </w:p>
        </w:tc>
      </w:tr>
      <w:tr>
        <w:trPr/>
        <w:tc>
          <w:tcPr>
            <w:tcW w:w="198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83</w:t>
            </w:r>
          </w:p>
        </w:tc>
        <w:tc>
          <w:tcPr>
            <w:tcW w:w="1733"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82"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5%</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33%</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197</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154</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78%</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92</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41</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45%</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33%</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30</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30%</w:t>
            </w:r>
          </w:p>
        </w:tc>
      </w:tr>
      <w:tr>
        <w:trPr/>
        <w:tc>
          <w:tcPr>
            <w:tcW w:w="198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733"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2" w:type="dxa"/>
            <w:tcBorders>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33"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2" w:type="dxa"/>
            <w:tcBorders>
              <w:top w:val="single" w:sz="2" w:space="0" w:color="000000"/>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33"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782" w:type="dxa"/>
            <w:tcBorders>
              <w:left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0%</w:t>
            </w:r>
          </w:p>
        </w:tc>
      </w:tr>
      <w:tr>
        <w:trPr/>
        <w:tc>
          <w:tcPr>
            <w:tcW w:w="1980" w:type="dxa"/>
            <w:tcBorders>
              <w:left w:val="single" w:sz="2" w:space="0" w:color="000000"/>
              <w:bottom w:val="single" w:sz="8"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1620" w:type="dxa"/>
            <w:tcBorders>
              <w:left w:val="single" w:sz="2" w:space="0" w:color="000000"/>
              <w:bottom w:val="single" w:sz="8"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733" w:type="dxa"/>
            <w:tcBorders>
              <w:left w:val="single" w:sz="2" w:space="0" w:color="000000"/>
              <w:bottom w:val="single" w:sz="8"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782" w:type="dxa"/>
            <w:tcBorders>
              <w:left w:val="single" w:sz="2" w:space="0" w:color="000000"/>
              <w:bottom w:val="single" w:sz="8"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75%</w:t>
            </w:r>
          </w:p>
        </w:tc>
      </w:tr>
      <w:tr>
        <w:trPr/>
        <w:tc>
          <w:tcPr>
            <w:tcW w:w="1980" w:type="dxa"/>
            <w:tcBorders>
              <w:top w:val="single" w:sz="8" w:space="0" w:color="000000"/>
              <w:left w:val="single" w:sz="2" w:space="0" w:color="000000"/>
              <w:bottom w:val="single" w:sz="2" w:space="0" w:color="000000"/>
            </w:tcBorders>
            <w:vAlign w:val="center"/>
          </w:tcPr>
          <w:p>
            <w:pPr>
              <w:pStyle w:val="Normal"/>
              <w:spacing w:lineRule="auto" w:line="240"/>
              <w:jc w:val="left"/>
              <w:rPr>
                <w:rFonts w:ascii="Arial" w:hAnsi="Arial" w:cs="Arial"/>
                <w:sz w:val="16"/>
                <w:szCs w:val="16"/>
              </w:rPr>
            </w:pPr>
            <w:r>
              <w:rPr>
                <w:rFonts w:cs="Arial" w:ascii="Arial" w:hAnsi="Arial"/>
                <w:sz w:val="16"/>
                <w:szCs w:val="16"/>
              </w:rPr>
              <w:t>Total</w:t>
            </w:r>
          </w:p>
        </w:tc>
        <w:tc>
          <w:tcPr>
            <w:tcW w:w="1620" w:type="dxa"/>
            <w:tcBorders>
              <w:top w:val="single" w:sz="8" w:space="0" w:color="000000"/>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2,554</w:t>
            </w:r>
          </w:p>
        </w:tc>
        <w:tc>
          <w:tcPr>
            <w:tcW w:w="1733" w:type="dxa"/>
            <w:tcBorders>
              <w:top w:val="single" w:sz="8" w:space="0" w:color="000000"/>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936</w:t>
            </w:r>
          </w:p>
        </w:tc>
        <w:tc>
          <w:tcPr>
            <w:tcW w:w="1782" w:type="dxa"/>
            <w:tcBorders>
              <w:top w:val="single" w:sz="8" w:space="0" w:color="000000"/>
              <w:left w:val="single" w:sz="2" w:space="0" w:color="000000"/>
              <w:bottom w:val="single" w:sz="2" w:space="0" w:color="000000"/>
              <w:right w:val="single" w:sz="2" w:space="0" w:color="000000"/>
            </w:tcBorders>
          </w:tcPr>
          <w:p>
            <w:pPr>
              <w:pStyle w:val="Normal"/>
              <w:tabs>
                <w:tab w:val="clear" w:pos="720"/>
                <w:tab w:val="decimal" w:pos="432" w:leader="none"/>
              </w:tabs>
              <w:spacing w:lineRule="auto" w:line="240"/>
              <w:jc w:val="center"/>
              <w:rPr>
                <w:rFonts w:ascii="Arial" w:hAnsi="Arial" w:cs="Arial"/>
                <w:sz w:val="16"/>
                <w:szCs w:val="16"/>
              </w:rPr>
            </w:pPr>
            <w:r>
              <w:rPr>
                <w:rFonts w:cs="Arial" w:ascii="Arial" w:hAnsi="Arial"/>
                <w:sz w:val="16"/>
                <w:szCs w:val="16"/>
              </w:rPr>
              <w:t>37%</w:t>
            </w:r>
          </w:p>
        </w:tc>
      </w:tr>
    </w:tbl>
    <w:p>
      <w:pPr>
        <w:pStyle w:val="TextBodyIndent"/>
        <w:spacing w:before="0" w:after="0"/>
        <w:ind w:left="0" w:hanging="0"/>
        <w:rPr>
          <w:rFonts w:cs="Arial"/>
          <w:b/>
          <w:b/>
          <w:bCs/>
          <w:szCs w:val="18"/>
        </w:rPr>
      </w:pPr>
      <w:r>
        <w:rPr>
          <w:rFonts w:cs="Arial"/>
          <w:b/>
          <w:bCs/>
          <w:szCs w:val="18"/>
        </w:rPr>
      </w:r>
    </w:p>
    <w:p>
      <w:pPr>
        <w:pStyle w:val="TextBodyIndent"/>
        <w:spacing w:before="0" w:after="0"/>
        <w:ind w:left="0" w:hanging="0"/>
        <w:rPr>
          <w:rFonts w:cs="Arial"/>
          <w:b/>
          <w:b/>
          <w:bCs/>
          <w:szCs w:val="18"/>
        </w:rPr>
      </w:pPr>
      <w:r>
        <w:rPr>
          <w:rFonts w:cs="Arial"/>
          <w:b/>
          <w:bCs/>
          <w:szCs w:val="18"/>
        </w:rPr>
      </w:r>
    </w:p>
    <w:p>
      <w:pPr>
        <w:pStyle w:val="TextBodyIndent"/>
        <w:spacing w:before="0" w:after="0"/>
        <w:ind w:left="0" w:hanging="0"/>
        <w:rPr>
          <w:szCs w:val="18"/>
        </w:rPr>
      </w:pPr>
      <w:r>
        <w:rPr>
          <w:szCs w:val="18"/>
        </w:rPr>
      </w:r>
      <w:r>
        <w:br w:type="page"/>
      </w:r>
    </w:p>
    <w:p>
      <w:pPr>
        <w:pStyle w:val="TextBodyIndent"/>
        <w:spacing w:before="0" w:after="0"/>
        <w:ind w:left="0" w:hanging="0"/>
        <w:rPr>
          <w:rFonts w:cs="Arial"/>
          <w:b/>
          <w:b/>
          <w:bCs/>
          <w:sz w:val="20"/>
        </w:rPr>
      </w:pPr>
      <w:bookmarkStart w:id="3" w:name="RANGE!A1%3AD68"/>
      <w:r>
        <w:rPr>
          <w:rFonts w:cs="Arial"/>
          <w:b/>
          <w:bCs/>
          <w:sz w:val="20"/>
        </w:rPr>
        <w:t>Table 6</w:t>
      </w:r>
      <w:bookmarkEnd w:id="3"/>
    </w:p>
    <w:p>
      <w:pPr>
        <w:pStyle w:val="TextBodyIndent"/>
        <w:spacing w:before="0" w:after="0"/>
        <w:ind w:left="0" w:hanging="0"/>
        <w:rPr>
          <w:rFonts w:cs="Arial"/>
          <w:sz w:val="20"/>
        </w:rPr>
      </w:pPr>
      <w:r>
        <w:rPr>
          <w:rFonts w:cs="Arial"/>
          <w:sz w:val="20"/>
        </w:rPr>
        <w:t>Number and percent of shortened expulsions that were for nondisabled students found to have brought a firearm to school, 2001-2002</w:t>
      </w:r>
    </w:p>
    <w:p>
      <w:pPr>
        <w:pStyle w:val="TextBodyIndent"/>
        <w:spacing w:before="0" w:after="0"/>
        <w:ind w:left="0" w:hanging="0"/>
        <w:rPr>
          <w:rFonts w:cs="Arial"/>
          <w:sz w:val="20"/>
        </w:rPr>
      </w:pPr>
      <w:r>
        <w:rPr>
          <w:rFonts w:cs="Arial"/>
          <w:sz w:val="20"/>
        </w:rPr>
      </w:r>
    </w:p>
    <w:tbl>
      <w:tblPr>
        <w:tblW w:w="7660" w:type="dxa"/>
        <w:jc w:val="left"/>
        <w:tblInd w:w="1003" w:type="dxa"/>
        <w:tblCellMar>
          <w:top w:w="0" w:type="dxa"/>
          <w:left w:w="108" w:type="dxa"/>
          <w:bottom w:w="0" w:type="dxa"/>
          <w:right w:w="108" w:type="dxa"/>
        </w:tblCellMar>
      </w:tblPr>
      <w:tblGrid>
        <w:gridCol w:w="1890"/>
        <w:gridCol w:w="1620"/>
        <w:gridCol w:w="1890"/>
        <w:gridCol w:w="2255"/>
        <w:gridCol w:w="5"/>
      </w:tblGrid>
      <w:tr>
        <w:trPr/>
        <w:tc>
          <w:tcPr>
            <w:tcW w:w="1890" w:type="dxa"/>
            <w:tcBorders>
              <w:top w:val="single" w:sz="4" w:space="0" w:color="000000"/>
              <w:left w:val="single" w:sz="4" w:space="0" w:color="000000"/>
              <w:bottom w:val="single" w:sz="4" w:space="0" w:color="000000"/>
            </w:tcBorders>
            <w:vAlign w:val="bottom"/>
          </w:tcPr>
          <w:p>
            <w:pPr>
              <w:pStyle w:val="Normal"/>
              <w:spacing w:lineRule="auto" w:line="240"/>
              <w:jc w:val="left"/>
              <w:rPr>
                <w:rFonts w:ascii="Arial" w:hAnsi="Arial" w:cs="Arial"/>
                <w:b/>
                <w:b/>
                <w:bCs/>
                <w:sz w:val="16"/>
                <w:szCs w:val="16"/>
              </w:rPr>
            </w:pPr>
            <w:r>
              <w:rPr>
                <w:rFonts w:cs="Arial" w:ascii="Arial" w:hAnsi="Arial"/>
                <w:b/>
                <w:bCs/>
                <w:sz w:val="16"/>
                <w:szCs w:val="16"/>
              </w:rPr>
              <w:t>State/Outlying Area</w:t>
            </w:r>
          </w:p>
        </w:tc>
        <w:tc>
          <w:tcPr>
            <w:tcW w:w="162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Number shortened</w:t>
            </w:r>
          </w:p>
        </w:tc>
        <w:tc>
          <w:tcPr>
            <w:tcW w:w="189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Number non-disabled shortened</w:t>
            </w:r>
          </w:p>
        </w:tc>
        <w:tc>
          <w:tcPr>
            <w:tcW w:w="226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Percent non-disabled shortened</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Alabama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16</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2260" w:type="dxa"/>
            <w:tcBorders>
              <w:top w:val="single" w:sz="4" w:space="0" w:color="000000"/>
              <w:left w:val="single" w:sz="4" w:space="0" w:color="000000"/>
              <w:righ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Alaska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Arizona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63</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38</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Arkansas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20</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19</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95%</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78%</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36</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36</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86%</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13</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46%</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67%</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25%</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24</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18</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67%</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29</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27</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93%</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83%</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20</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18</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90%</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37</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30</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81%</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56%</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Montana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70%</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162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4" w:space="0" w:color="000000"/>
              <w:bottom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60" w:type="dxa"/>
            <w:tcBorders>
              <w:left w:val="single" w:sz="4" w:space="0" w:color="000000"/>
              <w:bottom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162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890" w:type="dxa"/>
            <w:tcBorders>
              <w:top w:val="single" w:sz="4" w:space="0" w:color="000000"/>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2260" w:type="dxa"/>
            <w:tcBorders>
              <w:top w:val="single" w:sz="4" w:space="0" w:color="000000"/>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53</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35</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67%</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162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63</w:t>
            </w:r>
          </w:p>
        </w:tc>
        <w:tc>
          <w:tcPr>
            <w:tcW w:w="1890" w:type="dxa"/>
            <w:tcBorders>
              <w:left w:val="single" w:sz="4"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49</w:t>
            </w:r>
          </w:p>
        </w:tc>
        <w:tc>
          <w:tcPr>
            <w:tcW w:w="2260" w:type="dxa"/>
            <w:tcBorders>
              <w:left w:val="single" w:sz="4"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78%</w:t>
            </w:r>
          </w:p>
        </w:tc>
      </w:tr>
      <w:tr>
        <w:trPr/>
        <w:tc>
          <w:tcPr>
            <w:tcW w:w="1890" w:type="dxa"/>
            <w:tcBorders>
              <w:left w:val="single" w:sz="4"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1620" w:type="dxa"/>
            <w:tcBorders>
              <w:left w:val="single" w:sz="4"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890" w:type="dxa"/>
            <w:tcBorders>
              <w:left w:val="single" w:sz="4"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2260" w:type="dxa"/>
            <w:tcBorders>
              <w:left w:val="single" w:sz="4" w:space="0" w:color="000000"/>
              <w:bottom w:val="single" w:sz="2" w:space="0" w:color="000000"/>
              <w:right w:val="single" w:sz="4"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75%</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Ohio</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42</w:t>
            </w:r>
          </w:p>
        </w:tc>
        <w:tc>
          <w:tcPr>
            <w:tcW w:w="189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37</w:t>
            </w:r>
          </w:p>
        </w:tc>
        <w:tc>
          <w:tcPr>
            <w:tcW w:w="2255" w:type="dxa"/>
            <w:tcBorders>
              <w:top w:val="single" w:sz="2" w:space="0" w:color="000000"/>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88%</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15</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15</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25</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14</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56%</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14</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12</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86%</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89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2255" w:type="dxa"/>
            <w:tcBorders>
              <w:left w:val="single" w:sz="2" w:space="0" w:color="000000"/>
              <w:bottom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w:t>
            </w:r>
          </w:p>
        </w:tc>
        <w:tc>
          <w:tcPr>
            <w:tcW w:w="189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w:t>
            </w:r>
          </w:p>
        </w:tc>
        <w:tc>
          <w:tcPr>
            <w:tcW w:w="2255" w:type="dxa"/>
            <w:tcBorders>
              <w:top w:val="single" w:sz="2" w:space="0" w:color="000000"/>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86%</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67%</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33</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28</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85%</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76</w:t>
            </w:r>
          </w:p>
        </w:tc>
        <w:tc>
          <w:tcPr>
            <w:tcW w:w="189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63</w:t>
            </w:r>
          </w:p>
        </w:tc>
        <w:tc>
          <w:tcPr>
            <w:tcW w:w="2255" w:type="dxa"/>
            <w:tcBorders>
              <w:left w:val="single" w:sz="2" w:space="0" w:color="000000"/>
              <w:bottom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83%</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189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w:t>
            </w:r>
          </w:p>
        </w:tc>
        <w:tc>
          <w:tcPr>
            <w:tcW w:w="2255" w:type="dxa"/>
            <w:tcBorders>
              <w:top w:val="single" w:sz="2" w:space="0" w:color="000000"/>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154</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118</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77%</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41</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24</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59%</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2</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56%</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162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55" w:type="dxa"/>
            <w:tcBorders>
              <w:left w:val="single" w:sz="2" w:space="0" w:color="000000"/>
              <w:bottom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162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top w:val="single" w:sz="2" w:space="0" w:color="000000"/>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55" w:type="dxa"/>
            <w:tcBorders>
              <w:top w:val="single" w:sz="2" w:space="0" w:color="000000"/>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162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1890" w:type="dxa"/>
            <w:tcBorders>
              <w:left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c>
          <w:tcPr>
            <w:tcW w:w="2255" w:type="dxa"/>
            <w:tcBorders>
              <w:left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0%</w:t>
            </w:r>
          </w:p>
        </w:tc>
      </w:tr>
      <w:tr>
        <w:trPr/>
        <w:tc>
          <w:tcPr>
            <w:tcW w:w="1890" w:type="dxa"/>
            <w:tcBorders>
              <w:left w:val="single" w:sz="2" w:space="0" w:color="000000"/>
              <w:bottom w:val="single" w:sz="8"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1620" w:type="dxa"/>
            <w:tcBorders>
              <w:left w:val="single" w:sz="2" w:space="0" w:color="000000"/>
              <w:bottom w:val="single" w:sz="8"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1890" w:type="dxa"/>
            <w:tcBorders>
              <w:left w:val="single" w:sz="2" w:space="0" w:color="000000"/>
              <w:bottom w:val="single" w:sz="8"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3</w:t>
            </w:r>
          </w:p>
        </w:tc>
        <w:tc>
          <w:tcPr>
            <w:tcW w:w="2255" w:type="dxa"/>
            <w:tcBorders>
              <w:left w:val="single" w:sz="2" w:space="0" w:color="000000"/>
              <w:bottom w:val="single" w:sz="8"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100%</w:t>
            </w:r>
          </w:p>
        </w:tc>
      </w:tr>
      <w:tr>
        <w:trPr/>
        <w:tc>
          <w:tcPr>
            <w:tcW w:w="1890" w:type="dxa"/>
            <w:tcBorders>
              <w:top w:val="single" w:sz="8" w:space="0" w:color="000000"/>
              <w:left w:val="single" w:sz="2" w:space="0" w:color="000000"/>
              <w:bottom w:val="single" w:sz="2" w:space="0" w:color="000000"/>
            </w:tcBorders>
            <w:vAlign w:val="center"/>
          </w:tcPr>
          <w:p>
            <w:pPr>
              <w:pStyle w:val="Normal"/>
              <w:spacing w:lineRule="auto" w:line="240"/>
              <w:jc w:val="left"/>
              <w:rPr>
                <w:rFonts w:ascii="Arial" w:hAnsi="Arial" w:cs="Arial"/>
                <w:sz w:val="16"/>
                <w:szCs w:val="16"/>
              </w:rPr>
            </w:pPr>
            <w:r>
              <w:rPr>
                <w:rFonts w:cs="Arial" w:ascii="Arial" w:hAnsi="Arial"/>
                <w:sz w:val="16"/>
                <w:szCs w:val="16"/>
              </w:rPr>
              <w:t>Total</w:t>
            </w:r>
          </w:p>
        </w:tc>
        <w:tc>
          <w:tcPr>
            <w:tcW w:w="1620" w:type="dxa"/>
            <w:tcBorders>
              <w:top w:val="single" w:sz="8" w:space="0" w:color="000000"/>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936</w:t>
            </w:r>
          </w:p>
        </w:tc>
        <w:tc>
          <w:tcPr>
            <w:tcW w:w="1890" w:type="dxa"/>
            <w:tcBorders>
              <w:top w:val="single" w:sz="8" w:space="0" w:color="000000"/>
              <w:left w:val="single" w:sz="2" w:space="0" w:color="000000"/>
              <w:bottom w:val="single" w:sz="2" w:space="0" w:color="000000"/>
            </w:tcBorders>
            <w:vAlign w:val="center"/>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722</w:t>
            </w:r>
          </w:p>
        </w:tc>
        <w:tc>
          <w:tcPr>
            <w:tcW w:w="2255" w:type="dxa"/>
            <w:tcBorders>
              <w:top w:val="single" w:sz="8" w:space="0" w:color="000000"/>
              <w:left w:val="single" w:sz="2" w:space="0" w:color="000000"/>
              <w:bottom w:val="single" w:sz="2" w:space="0" w:color="000000"/>
              <w:right w:val="single" w:sz="2" w:space="0" w:color="000000"/>
            </w:tcBorders>
          </w:tcPr>
          <w:p>
            <w:pPr>
              <w:pStyle w:val="Normal"/>
              <w:tabs>
                <w:tab w:val="clear" w:pos="720"/>
                <w:tab w:val="decimal" w:pos="792" w:leader="none"/>
              </w:tabs>
              <w:spacing w:lineRule="auto" w:line="240"/>
              <w:rPr>
                <w:rFonts w:ascii="Arial" w:hAnsi="Arial" w:cs="Arial"/>
                <w:sz w:val="16"/>
                <w:szCs w:val="16"/>
              </w:rPr>
            </w:pPr>
            <w:r>
              <w:rPr>
                <w:rFonts w:cs="Arial" w:ascii="Arial" w:hAnsi="Arial"/>
                <w:sz w:val="16"/>
                <w:szCs w:val="16"/>
              </w:rPr>
              <w:t>77%</w:t>
            </w:r>
          </w:p>
        </w:tc>
      </w:tr>
    </w:tbl>
    <w:p>
      <w:pPr>
        <w:pStyle w:val="TextBodyIndent"/>
        <w:spacing w:before="0" w:after="0"/>
        <w:ind w:left="0" w:hanging="0"/>
        <w:rPr>
          <w:rFonts w:cs="Arial"/>
          <w:b/>
          <w:b/>
          <w:bCs/>
          <w:szCs w:val="18"/>
        </w:rPr>
      </w:pPr>
      <w:r>
        <w:rPr>
          <w:rFonts w:cs="Arial"/>
          <w:b/>
          <w:bCs/>
          <w:szCs w:val="18"/>
        </w:rPr>
      </w:r>
      <w:r>
        <w:br w:type="page"/>
      </w:r>
    </w:p>
    <w:p>
      <w:pPr>
        <w:pStyle w:val="TextBodyIndent"/>
        <w:spacing w:before="0" w:after="0"/>
        <w:ind w:left="0" w:hanging="0"/>
        <w:rPr>
          <w:sz w:val="20"/>
        </w:rPr>
      </w:pPr>
      <w:bookmarkStart w:id="4" w:name="RANGE!A1%3AD69"/>
      <w:r>
        <w:rPr>
          <w:rFonts w:cs="Arial"/>
          <w:b/>
          <w:bCs/>
          <w:sz w:val="20"/>
        </w:rPr>
        <w:t>Table 7</w:t>
      </w:r>
      <w:bookmarkEnd w:id="4"/>
    </w:p>
    <w:p>
      <w:pPr>
        <w:pStyle w:val="TextBodyIndent"/>
        <w:spacing w:before="0" w:after="0"/>
        <w:ind w:left="0" w:hanging="0"/>
        <w:rPr>
          <w:rFonts w:cs="Arial"/>
          <w:sz w:val="20"/>
        </w:rPr>
      </w:pPr>
      <w:r>
        <w:rPr>
          <w:rFonts w:cs="Arial"/>
          <w:sz w:val="20"/>
        </w:rPr>
        <w:t>Number and percent of students found to have brought a firearm to school that were referred to an alternative placement, by state, 2001-2002</w:t>
      </w:r>
    </w:p>
    <w:p>
      <w:pPr>
        <w:pStyle w:val="TextBodyIndent"/>
        <w:spacing w:before="0" w:after="0"/>
        <w:ind w:left="0" w:hanging="0"/>
        <w:rPr>
          <w:rFonts w:cs="Arial"/>
          <w:sz w:val="20"/>
        </w:rPr>
      </w:pPr>
      <w:r>
        <w:rPr>
          <w:rFonts w:cs="Arial"/>
          <w:sz w:val="20"/>
        </w:rPr>
      </w:r>
    </w:p>
    <w:tbl>
      <w:tblPr>
        <w:tblW w:w="6337" w:type="dxa"/>
        <w:jc w:val="left"/>
        <w:tblInd w:w="1723" w:type="dxa"/>
        <w:tblCellMar>
          <w:top w:w="0" w:type="dxa"/>
          <w:left w:w="108" w:type="dxa"/>
          <w:bottom w:w="0" w:type="dxa"/>
          <w:right w:w="108" w:type="dxa"/>
        </w:tblCellMar>
      </w:tblPr>
      <w:tblGrid>
        <w:gridCol w:w="1890"/>
        <w:gridCol w:w="1350"/>
        <w:gridCol w:w="1620"/>
        <w:gridCol w:w="1472"/>
        <w:gridCol w:w="5"/>
      </w:tblGrid>
      <w:tr>
        <w:trPr/>
        <w:tc>
          <w:tcPr>
            <w:tcW w:w="1890" w:type="dxa"/>
            <w:tcBorders>
              <w:top w:val="single" w:sz="4" w:space="0" w:color="000000"/>
              <w:left w:val="single" w:sz="4" w:space="0" w:color="000000"/>
              <w:bottom w:val="single" w:sz="4" w:space="0" w:color="000000"/>
            </w:tcBorders>
            <w:vAlign w:val="bottom"/>
          </w:tcPr>
          <w:p>
            <w:pPr>
              <w:pStyle w:val="Normal"/>
              <w:spacing w:lineRule="auto" w:line="240"/>
              <w:jc w:val="left"/>
              <w:rPr>
                <w:rFonts w:ascii="Arial" w:hAnsi="Arial" w:cs="Arial"/>
                <w:b/>
                <w:b/>
                <w:bCs/>
                <w:sz w:val="18"/>
                <w:szCs w:val="18"/>
              </w:rPr>
            </w:pPr>
            <w:r>
              <w:rPr>
                <w:rFonts w:cs="Arial" w:ascii="Arial" w:hAnsi="Arial"/>
                <w:b/>
                <w:bCs/>
                <w:sz w:val="18"/>
                <w:szCs w:val="18"/>
              </w:rPr>
              <w:t>State/Outlying Area</w:t>
            </w:r>
          </w:p>
        </w:tc>
        <w:tc>
          <w:tcPr>
            <w:tcW w:w="135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8"/>
                <w:szCs w:val="18"/>
              </w:rPr>
            </w:pPr>
            <w:r>
              <w:rPr>
                <w:rFonts w:cs="Arial" w:ascii="Arial" w:hAnsi="Arial"/>
                <w:b/>
                <w:bCs/>
                <w:sz w:val="18"/>
                <w:szCs w:val="18"/>
              </w:rPr>
              <w:t>Number of Expulsions</w:t>
            </w:r>
          </w:p>
        </w:tc>
        <w:tc>
          <w:tcPr>
            <w:tcW w:w="1620"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8"/>
                <w:szCs w:val="18"/>
              </w:rPr>
            </w:pPr>
            <w:r>
              <w:rPr>
                <w:rFonts w:cs="Arial" w:ascii="Arial" w:hAnsi="Arial"/>
                <w:b/>
                <w:bCs/>
                <w:sz w:val="18"/>
                <w:szCs w:val="18"/>
              </w:rPr>
              <w:t>Number Referred</w:t>
            </w:r>
          </w:p>
        </w:tc>
        <w:tc>
          <w:tcPr>
            <w:tcW w:w="1477"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8"/>
                <w:szCs w:val="18"/>
              </w:rPr>
            </w:pPr>
            <w:r>
              <w:rPr>
                <w:rFonts w:cs="Arial" w:ascii="Arial" w:hAnsi="Arial"/>
                <w:b/>
                <w:bCs/>
                <w:sz w:val="18"/>
                <w:szCs w:val="18"/>
              </w:rPr>
              <w:t>Percent Referred</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Alabama</w:t>
            </w:r>
          </w:p>
        </w:tc>
        <w:tc>
          <w:tcPr>
            <w:tcW w:w="135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138</w:t>
            </w:r>
          </w:p>
        </w:tc>
        <w:tc>
          <w:tcPr>
            <w:tcW w:w="162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7" w:type="dxa"/>
            <w:tcBorders>
              <w:top w:val="single" w:sz="4" w:space="0" w:color="000000"/>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Alaska</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Arizona</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124</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41</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33%</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Arkansas</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80</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135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104</w:t>
            </w:r>
          </w:p>
        </w:tc>
        <w:tc>
          <w:tcPr>
            <w:tcW w:w="162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95</w:t>
            </w:r>
          </w:p>
        </w:tc>
        <w:tc>
          <w:tcPr>
            <w:tcW w:w="1477" w:type="dxa"/>
            <w:tcBorders>
              <w:left w:val="single" w:sz="4" w:space="0" w:color="000000"/>
              <w:bottom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135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w:t>
            </w:r>
          </w:p>
        </w:tc>
        <w:tc>
          <w:tcPr>
            <w:tcW w:w="162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477" w:type="dxa"/>
            <w:tcBorders>
              <w:top w:val="single" w:sz="4" w:space="0" w:color="000000"/>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68%</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100%</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135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51</w:t>
            </w:r>
          </w:p>
        </w:tc>
        <w:tc>
          <w:tcPr>
            <w:tcW w:w="162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34</w:t>
            </w:r>
          </w:p>
        </w:tc>
        <w:tc>
          <w:tcPr>
            <w:tcW w:w="1477" w:type="dxa"/>
            <w:tcBorders>
              <w:left w:val="single" w:sz="4" w:space="0" w:color="000000"/>
              <w:bottom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135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119</w:t>
            </w:r>
          </w:p>
        </w:tc>
        <w:tc>
          <w:tcPr>
            <w:tcW w:w="162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c>
          <w:tcPr>
            <w:tcW w:w="1477" w:type="dxa"/>
            <w:tcBorders>
              <w:top w:val="single" w:sz="4" w:space="0" w:color="000000"/>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53</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38</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72%</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135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41</w:t>
            </w:r>
          </w:p>
        </w:tc>
        <w:tc>
          <w:tcPr>
            <w:tcW w:w="162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477" w:type="dxa"/>
            <w:tcBorders>
              <w:left w:val="single" w:sz="4" w:space="0" w:color="000000"/>
              <w:bottom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r>
      <w:tr>
        <w:trPr/>
        <w:tc>
          <w:tcPr>
            <w:tcW w:w="1890"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135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620" w:type="dxa"/>
            <w:tcBorders>
              <w:top w:val="single" w:sz="4" w:space="0" w:color="000000"/>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1477" w:type="dxa"/>
            <w:tcBorders>
              <w:top w:val="single" w:sz="4" w:space="0" w:color="000000"/>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16</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50%</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r>
      <w:tr>
        <w:trPr/>
        <w:tc>
          <w:tcPr>
            <w:tcW w:w="1890"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135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75</w:t>
            </w:r>
          </w:p>
        </w:tc>
        <w:tc>
          <w:tcPr>
            <w:tcW w:w="1620" w:type="dxa"/>
            <w:tcBorders>
              <w:lef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68</w:t>
            </w:r>
          </w:p>
        </w:tc>
        <w:tc>
          <w:tcPr>
            <w:tcW w:w="1477" w:type="dxa"/>
            <w:tcBorders>
              <w:left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91%</w:t>
            </w:r>
          </w:p>
        </w:tc>
      </w:tr>
      <w:tr>
        <w:trPr/>
        <w:tc>
          <w:tcPr>
            <w:tcW w:w="1890"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135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c>
          <w:tcPr>
            <w:tcW w:w="1620" w:type="dxa"/>
            <w:tcBorders>
              <w:left w:val="single" w:sz="4"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477" w:type="dxa"/>
            <w:tcBorders>
              <w:left w:val="single" w:sz="4" w:space="0" w:color="000000"/>
              <w:bottom w:val="single" w:sz="4" w:space="0" w:color="000000"/>
              <w:right w:val="single" w:sz="4"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50%</w:t>
            </w:r>
          </w:p>
        </w:tc>
      </w:tr>
      <w:tr>
        <w:trPr/>
        <w:tc>
          <w:tcPr>
            <w:tcW w:w="1890" w:type="dxa"/>
            <w:tcBorders>
              <w:top w:val="single" w:sz="4"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1350" w:type="dxa"/>
            <w:tcBorders>
              <w:top w:val="single" w:sz="4"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620" w:type="dxa"/>
            <w:tcBorders>
              <w:top w:val="single" w:sz="4"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472" w:type="dxa"/>
            <w:tcBorders>
              <w:top w:val="single" w:sz="4"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89</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43%</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23</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r>
      <w:tr>
        <w:trPr/>
        <w:tc>
          <w:tcPr>
            <w:tcW w:w="1890" w:type="dxa"/>
            <w:tcBorders>
              <w:left w:val="single" w:sz="2"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1350" w:type="dxa"/>
            <w:tcBorders>
              <w:left w:val="single" w:sz="2"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c>
          <w:tcPr>
            <w:tcW w:w="1620" w:type="dxa"/>
            <w:tcBorders>
              <w:left w:val="single" w:sz="2" w:space="0" w:color="000000"/>
              <w:bottom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472" w:type="dxa"/>
            <w:tcBorders>
              <w:left w:val="single" w:sz="2" w:space="0" w:color="000000"/>
              <w:bottom w:val="single" w:sz="4"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r>
      <w:tr>
        <w:trPr/>
        <w:tc>
          <w:tcPr>
            <w:tcW w:w="1890" w:type="dxa"/>
            <w:tcBorders>
              <w:top w:val="single" w:sz="4"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1350" w:type="dxa"/>
            <w:tcBorders>
              <w:top w:val="single" w:sz="4"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59</w:t>
            </w:r>
          </w:p>
        </w:tc>
        <w:tc>
          <w:tcPr>
            <w:tcW w:w="1620" w:type="dxa"/>
            <w:tcBorders>
              <w:top w:val="single" w:sz="4"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472" w:type="dxa"/>
            <w:tcBorders>
              <w:top w:val="single" w:sz="4"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56</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51</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91%</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135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16</w:t>
            </w:r>
          </w:p>
        </w:tc>
        <w:tc>
          <w:tcPr>
            <w:tcW w:w="162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1472" w:type="dxa"/>
            <w:tcBorders>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81%</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135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c>
          <w:tcPr>
            <w:tcW w:w="162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c>
          <w:tcPr>
            <w:tcW w:w="1472" w:type="dxa"/>
            <w:tcBorders>
              <w:top w:val="single" w:sz="2"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88</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49</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56%</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135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60</w:t>
            </w:r>
          </w:p>
        </w:tc>
        <w:tc>
          <w:tcPr>
            <w:tcW w:w="162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c>
          <w:tcPr>
            <w:tcW w:w="1472" w:type="dxa"/>
            <w:tcBorders>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135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c>
          <w:tcPr>
            <w:tcW w:w="162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41</w:t>
            </w:r>
          </w:p>
        </w:tc>
        <w:tc>
          <w:tcPr>
            <w:tcW w:w="1472" w:type="dxa"/>
            <w:tcBorders>
              <w:top w:val="single" w:sz="2"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75%</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28%</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75%</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135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34</w:t>
            </w:r>
          </w:p>
        </w:tc>
        <w:tc>
          <w:tcPr>
            <w:tcW w:w="162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472" w:type="dxa"/>
            <w:tcBorders>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135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62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top w:val="single" w:sz="2"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80</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177</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136</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77%</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83</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135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62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135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197</w:t>
            </w:r>
          </w:p>
        </w:tc>
        <w:tc>
          <w:tcPr>
            <w:tcW w:w="162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29</w:t>
            </w:r>
          </w:p>
        </w:tc>
        <w:tc>
          <w:tcPr>
            <w:tcW w:w="1472" w:type="dxa"/>
            <w:tcBorders>
              <w:top w:val="single" w:sz="2"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22</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30</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57%</w:t>
            </w:r>
          </w:p>
        </w:tc>
      </w:tr>
      <w:tr>
        <w:trPr/>
        <w:tc>
          <w:tcPr>
            <w:tcW w:w="1890"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135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620" w:type="dxa"/>
            <w:tcBorders>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135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620" w:type="dxa"/>
            <w:tcBorders>
              <w:top w:val="single" w:sz="2" w:space="0" w:color="000000"/>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top w:val="single" w:sz="2" w:space="0" w:color="000000"/>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135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620" w:type="dxa"/>
            <w:tcBorders>
              <w:lef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left w:val="single" w:sz="2" w:space="0" w:color="000000"/>
              <w:bottom w:val="single" w:sz="8"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1350" w:type="dxa"/>
            <w:tcBorders>
              <w:left w:val="single" w:sz="2" w:space="0" w:color="000000"/>
              <w:bottom w:val="single" w:sz="8"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620" w:type="dxa"/>
            <w:tcBorders>
              <w:left w:val="single" w:sz="2" w:space="0" w:color="000000"/>
              <w:bottom w:val="single" w:sz="8"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472" w:type="dxa"/>
            <w:tcBorders>
              <w:left w:val="single" w:sz="2" w:space="0" w:color="000000"/>
              <w:bottom w:val="single" w:sz="8"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890" w:type="dxa"/>
            <w:tcBorders>
              <w:top w:val="single" w:sz="8" w:space="0" w:color="000000"/>
              <w:left w:val="single" w:sz="2" w:space="0" w:color="000000"/>
              <w:bottom w:val="single" w:sz="2" w:space="0" w:color="000000"/>
            </w:tcBorders>
            <w:vAlign w:val="bottom"/>
          </w:tcPr>
          <w:p>
            <w:pPr>
              <w:pStyle w:val="Normal"/>
              <w:spacing w:lineRule="auto" w:line="240"/>
              <w:jc w:val="left"/>
              <w:rPr>
                <w:rFonts w:ascii="Arial" w:hAnsi="Arial" w:cs="Arial"/>
                <w:sz w:val="16"/>
                <w:szCs w:val="16"/>
              </w:rPr>
            </w:pPr>
            <w:r>
              <w:rPr>
                <w:rFonts w:cs="Arial" w:ascii="Arial" w:hAnsi="Arial"/>
                <w:sz w:val="16"/>
                <w:szCs w:val="16"/>
              </w:rPr>
              <w:t>Total</w:t>
            </w:r>
          </w:p>
        </w:tc>
        <w:tc>
          <w:tcPr>
            <w:tcW w:w="1350" w:type="dxa"/>
            <w:tcBorders>
              <w:top w:val="single" w:sz="8" w:space="0" w:color="000000"/>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2,470</w:t>
            </w:r>
          </w:p>
        </w:tc>
        <w:tc>
          <w:tcPr>
            <w:tcW w:w="1620" w:type="dxa"/>
            <w:tcBorders>
              <w:top w:val="single" w:sz="8" w:space="0" w:color="000000"/>
              <w:left w:val="single" w:sz="2" w:space="0" w:color="000000"/>
              <w:bottom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964</w:t>
            </w:r>
          </w:p>
        </w:tc>
        <w:tc>
          <w:tcPr>
            <w:tcW w:w="1472" w:type="dxa"/>
            <w:tcBorders>
              <w:top w:val="single" w:sz="8" w:space="0" w:color="000000"/>
              <w:left w:val="single" w:sz="2" w:space="0" w:color="000000"/>
              <w:bottom w:val="single" w:sz="2" w:space="0" w:color="000000"/>
              <w:right w:val="single" w:sz="2" w:space="0" w:color="000000"/>
            </w:tcBorders>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39%</w:t>
            </w:r>
          </w:p>
        </w:tc>
      </w:tr>
    </w:tbl>
    <w:p>
      <w:pPr>
        <w:pStyle w:val="TextBodyIndent"/>
        <w:ind w:left="0" w:hanging="0"/>
        <w:rPr>
          <w:rFonts w:cs="Arial"/>
          <w:b/>
          <w:b/>
          <w:bCs/>
          <w:szCs w:val="18"/>
        </w:rPr>
      </w:pPr>
      <w:r>
        <w:rPr>
          <w:rFonts w:cs="Arial"/>
          <w:b/>
          <w:bCs/>
          <w:szCs w:val="18"/>
        </w:rPr>
      </w:r>
    </w:p>
    <w:p>
      <w:pPr>
        <w:pStyle w:val="TextBodyIndent"/>
        <w:ind w:left="0" w:hanging="0"/>
        <w:rPr>
          <w:b/>
          <w:b/>
          <w:szCs w:val="18"/>
        </w:rPr>
      </w:pPr>
      <w:r>
        <w:rPr>
          <w:rFonts w:cs="Arial"/>
          <w:b/>
          <w:bCs/>
          <w:szCs w:val="18"/>
        </w:rPr>
        <w:t>Data Notes:</w:t>
      </w:r>
    </w:p>
    <w:p>
      <w:pPr>
        <w:pStyle w:val="TextBodyIndent"/>
        <w:ind w:left="0" w:hanging="0"/>
        <w:rPr>
          <w:rFonts w:cs="Arial"/>
          <w:szCs w:val="18"/>
        </w:rPr>
      </w:pPr>
      <w:r>
        <w:rPr>
          <w:rFonts w:cs="Arial"/>
          <w:szCs w:val="18"/>
        </w:rPr>
        <w:t>The GFSA has provisions in place that allow local officials to refer expelled students to an alternative school or program.</w:t>
      </w:r>
      <w:bookmarkStart w:id="5" w:name="RANGE!A1%3AC66"/>
    </w:p>
    <w:p>
      <w:pPr>
        <w:pStyle w:val="TextBodyIndent"/>
        <w:spacing w:before="0" w:after="0"/>
        <w:ind w:left="0" w:hanging="0"/>
        <w:rPr>
          <w:rFonts w:cs="Arial"/>
          <w:bCs/>
          <w:szCs w:val="18"/>
        </w:rPr>
      </w:pPr>
      <w:r>
        <w:rPr>
          <w:rFonts w:cs="Arial"/>
          <w:bCs/>
          <w:szCs w:val="18"/>
        </w:rPr>
        <w:t>Montana and Ohio did not provide information on GFSA violations referred to an alternative placement for</w:t>
        <w:br/>
        <w:t>2001-2002, and therefore are not included in this table.</w:t>
      </w:r>
      <w:r>
        <w:br w:type="page"/>
      </w:r>
    </w:p>
    <w:p>
      <w:pPr>
        <w:pStyle w:val="TextBodyIndent"/>
        <w:spacing w:before="0" w:after="0"/>
        <w:ind w:left="180" w:hanging="0"/>
        <w:rPr>
          <w:rFonts w:cs="Arial"/>
          <w:b/>
          <w:b/>
          <w:bCs/>
          <w:sz w:val="20"/>
        </w:rPr>
      </w:pPr>
      <w:r>
        <w:rPr>
          <w:rFonts w:cs="Arial"/>
          <w:b/>
          <w:bCs/>
          <w:sz w:val="20"/>
        </w:rPr>
        <w:t>Table 8</w:t>
      </w:r>
      <w:bookmarkEnd w:id="5"/>
    </w:p>
    <w:p>
      <w:pPr>
        <w:pStyle w:val="TextBodyIndent"/>
        <w:ind w:left="180" w:hanging="0"/>
        <w:rPr>
          <w:b/>
          <w:b/>
          <w:sz w:val="16"/>
        </w:rPr>
      </w:pPr>
      <w:r>
        <w:rPr>
          <w:rFonts w:cs="Arial"/>
          <w:sz w:val="20"/>
        </w:rPr>
        <w:t>Percent of LEAs that submitted a GFSA report to the state and percentage of LEAs reporting offenses, by state, 2001-2002</w:t>
      </w:r>
    </w:p>
    <w:p>
      <w:pPr>
        <w:pStyle w:val="TextBodyIndent"/>
        <w:rPr>
          <w:b/>
          <w:b/>
          <w:sz w:val="16"/>
        </w:rPr>
      </w:pPr>
      <w:r>
        <w:rPr>
          <w:b/>
          <w:sz w:val="16"/>
        </w:rPr>
      </w:r>
    </w:p>
    <w:tbl>
      <w:tblPr>
        <w:tblW w:w="7186" w:type="dxa"/>
        <w:jc w:val="center"/>
        <w:tblInd w:w="0" w:type="dxa"/>
        <w:tblCellMar>
          <w:top w:w="0" w:type="dxa"/>
          <w:left w:w="108" w:type="dxa"/>
          <w:bottom w:w="0" w:type="dxa"/>
          <w:right w:w="108" w:type="dxa"/>
        </w:tblCellMar>
      </w:tblPr>
      <w:tblGrid>
        <w:gridCol w:w="1957"/>
        <w:gridCol w:w="2348"/>
        <w:gridCol w:w="2876"/>
        <w:gridCol w:w="5"/>
      </w:tblGrid>
      <w:tr>
        <w:trPr/>
        <w:tc>
          <w:tcPr>
            <w:tcW w:w="1957"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State and outlying Area</w:t>
            </w:r>
          </w:p>
        </w:tc>
        <w:tc>
          <w:tcPr>
            <w:tcW w:w="2348" w:type="dxa"/>
            <w:tcBorders>
              <w:top w:val="single" w:sz="4" w:space="0" w:color="000000"/>
              <w:left w:val="single" w:sz="4" w:space="0" w:color="000000"/>
              <w:bottom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Percent of LEAs that submitted a GFSA report</w:t>
            </w:r>
          </w:p>
        </w:tc>
        <w:tc>
          <w:tcPr>
            <w:tcW w:w="288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bCs/>
                <w:sz w:val="16"/>
                <w:szCs w:val="16"/>
              </w:rPr>
            </w:pPr>
            <w:r>
              <w:rPr>
                <w:rFonts w:cs="Arial" w:ascii="Arial" w:hAnsi="Arial"/>
                <w:b/>
                <w:bCs/>
                <w:sz w:val="16"/>
                <w:szCs w:val="16"/>
              </w:rPr>
              <w:t>Percent of LEAs that reported an offense</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Alabama</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37%</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Alaska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20%</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Arizona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97%</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Arkansas</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16%</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4%</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5%</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6%</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29%</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23%</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98%</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13%</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7%</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15%</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75%</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7%</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95%</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5%</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32%</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86%</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7%</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Montana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30%</w:t>
            </w:r>
          </w:p>
        </w:tc>
      </w:tr>
      <w:tr>
        <w:trPr/>
        <w:tc>
          <w:tcPr>
            <w:tcW w:w="1957"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2348" w:type="dxa"/>
            <w:tcBorders>
              <w:left w:val="single" w:sz="4" w:space="0" w:color="000000"/>
              <w:bottom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0%</w:t>
            </w:r>
          </w:p>
        </w:tc>
      </w:tr>
      <w:tr>
        <w:trPr/>
        <w:tc>
          <w:tcPr>
            <w:tcW w:w="1957"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2348" w:type="dxa"/>
            <w:tcBorders>
              <w:top w:val="single" w:sz="4"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top w:val="single" w:sz="4" w:space="0" w:color="000000"/>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12%</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8%</w:t>
            </w:r>
          </w:p>
        </w:tc>
      </w:tr>
      <w:tr>
        <w:trPr/>
        <w:tc>
          <w:tcPr>
            <w:tcW w:w="1957"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15%</w:t>
            </w:r>
          </w:p>
        </w:tc>
      </w:tr>
      <w:tr>
        <w:trPr/>
        <w:tc>
          <w:tcPr>
            <w:tcW w:w="1957" w:type="dxa"/>
            <w:tcBorders>
              <w:left w:val="single" w:sz="4"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2348" w:type="dxa"/>
            <w:tcBorders>
              <w:left w:val="single" w:sz="4" w:space="0" w:color="000000"/>
              <w:bottom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81" w:type="dxa"/>
            <w:tcBorders>
              <w:left w:val="single" w:sz="4" w:space="0" w:color="000000"/>
              <w:bottom w:val="single" w:sz="2" w:space="0" w:color="000000"/>
              <w:righ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w:t>
            </w:r>
          </w:p>
        </w:tc>
      </w:tr>
      <w:tr>
        <w:trPr/>
        <w:tc>
          <w:tcPr>
            <w:tcW w:w="1957"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Ohio</w:t>
            </w:r>
          </w:p>
        </w:tc>
        <w:tc>
          <w:tcPr>
            <w:tcW w:w="2348" w:type="dxa"/>
            <w:tcBorders>
              <w:top w:val="single" w:sz="2" w:space="0" w:color="000000"/>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92%</w:t>
            </w:r>
          </w:p>
        </w:tc>
        <w:tc>
          <w:tcPr>
            <w:tcW w:w="2876" w:type="dxa"/>
            <w:tcBorders>
              <w:top w:val="single" w:sz="2" w:space="0" w:color="000000"/>
              <w:left w:val="single" w:sz="4"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30%</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4"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6%</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99%</w:t>
            </w:r>
          </w:p>
        </w:tc>
        <w:tc>
          <w:tcPr>
            <w:tcW w:w="2876" w:type="dxa"/>
            <w:tcBorders>
              <w:left w:val="single" w:sz="4"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13%</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2348" w:type="dxa"/>
            <w:tcBorders>
              <w:left w:val="single" w:sz="4"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4"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w:t>
            </w:r>
          </w:p>
        </w:tc>
      </w:tr>
      <w:tr>
        <w:trPr/>
        <w:tc>
          <w:tcPr>
            <w:tcW w:w="1957"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2348" w:type="dxa"/>
            <w:tcBorders>
              <w:left w:val="single" w:sz="4" w:space="0" w:color="000000"/>
              <w:bottom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4" w:space="0" w:color="000000"/>
              <w:bottom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r>
      <w:tr>
        <w:trPr/>
        <w:tc>
          <w:tcPr>
            <w:tcW w:w="1957"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2348" w:type="dxa"/>
            <w:tcBorders>
              <w:top w:val="single" w:sz="2" w:space="0" w:color="000000"/>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top w:val="single" w:sz="2" w:space="0" w:color="000000"/>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8%</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21%</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13%</w:t>
            </w:r>
          </w:p>
        </w:tc>
      </w:tr>
      <w:tr>
        <w:trPr/>
        <w:tc>
          <w:tcPr>
            <w:tcW w:w="1957"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2348" w:type="dxa"/>
            <w:tcBorders>
              <w:left w:val="single" w:sz="2" w:space="0" w:color="000000"/>
              <w:bottom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bottom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12%</w:t>
            </w:r>
          </w:p>
        </w:tc>
      </w:tr>
      <w:tr>
        <w:trPr/>
        <w:tc>
          <w:tcPr>
            <w:tcW w:w="1957"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2348" w:type="dxa"/>
            <w:tcBorders>
              <w:top w:val="single" w:sz="2" w:space="0" w:color="000000"/>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top w:val="single" w:sz="2" w:space="0" w:color="000000"/>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48%</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42%</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16%</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11%</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5%</w:t>
            </w:r>
          </w:p>
        </w:tc>
      </w:tr>
      <w:tr>
        <w:trPr/>
        <w:tc>
          <w:tcPr>
            <w:tcW w:w="1957"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2348" w:type="dxa"/>
            <w:tcBorders>
              <w:left w:val="single" w:sz="2" w:space="0" w:color="000000"/>
              <w:bottom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bottom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14%</w:t>
            </w:r>
          </w:p>
        </w:tc>
      </w:tr>
      <w:tr>
        <w:trPr/>
        <w:tc>
          <w:tcPr>
            <w:tcW w:w="1957"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2348" w:type="dxa"/>
            <w:tcBorders>
              <w:top w:val="single" w:sz="2" w:space="0" w:color="000000"/>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top w:val="single" w:sz="2" w:space="0" w:color="000000"/>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0%</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3%</w:t>
            </w:r>
          </w:p>
        </w:tc>
      </w:tr>
      <w:tr>
        <w:trPr/>
        <w:tc>
          <w:tcPr>
            <w:tcW w:w="1957"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2348" w:type="dxa"/>
            <w:tcBorders>
              <w:lef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0%</w:t>
            </w:r>
          </w:p>
        </w:tc>
      </w:tr>
      <w:tr>
        <w:trPr/>
        <w:tc>
          <w:tcPr>
            <w:tcW w:w="1957"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2348" w:type="dxa"/>
            <w:tcBorders>
              <w:left w:val="single" w:sz="2" w:space="0" w:color="000000"/>
              <w:bottom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c>
          <w:tcPr>
            <w:tcW w:w="2876" w:type="dxa"/>
            <w:tcBorders>
              <w:left w:val="single" w:sz="2" w:space="0" w:color="000000"/>
              <w:bottom w:val="single" w:sz="2" w:space="0" w:color="000000"/>
              <w:right w:val="single" w:sz="2" w:space="0" w:color="000000"/>
            </w:tcBorders>
            <w:vAlign w:val="center"/>
          </w:tcPr>
          <w:p>
            <w:pPr>
              <w:pStyle w:val="Normal"/>
              <w:tabs>
                <w:tab w:val="clear" w:pos="720"/>
                <w:tab w:val="decimal" w:pos="1257" w:leader="none"/>
              </w:tabs>
              <w:spacing w:lineRule="auto" w:line="240"/>
              <w:jc w:val="left"/>
              <w:rPr>
                <w:rFonts w:ascii="Arial" w:hAnsi="Arial" w:cs="Arial"/>
                <w:sz w:val="16"/>
                <w:szCs w:val="16"/>
              </w:rPr>
            </w:pPr>
            <w:r>
              <w:rPr>
                <w:rFonts w:cs="Arial" w:ascii="Arial" w:hAnsi="Arial"/>
                <w:sz w:val="16"/>
                <w:szCs w:val="16"/>
              </w:rPr>
              <w:t>100%</w:t>
            </w:r>
          </w:p>
        </w:tc>
      </w:tr>
    </w:tbl>
    <w:p>
      <w:pPr>
        <w:pStyle w:val="TextBodyIndent"/>
        <w:rPr>
          <w:b/>
          <w:b/>
          <w:bCs/>
        </w:rPr>
      </w:pPr>
      <w:r>
        <w:rPr>
          <w:b/>
          <w:bCs/>
        </w:rPr>
      </w:r>
    </w:p>
    <w:p>
      <w:pPr>
        <w:pStyle w:val="TextBodyIndent"/>
        <w:rPr>
          <w:b/>
          <w:b/>
          <w:bCs/>
        </w:rPr>
      </w:pPr>
      <w:r>
        <w:rPr>
          <w:b/>
          <w:bCs/>
        </w:rPr>
        <w:t>Data Notes:</w:t>
      </w:r>
      <w:r>
        <w:rPr>
          <w:rFonts w:cs="Arial"/>
          <w:sz w:val="16"/>
          <w:szCs w:val="16"/>
        </w:rPr>
        <w:t xml:space="preserve"> </w:t>
      </w:r>
    </w:p>
    <w:p>
      <w:pPr>
        <w:pStyle w:val="TextBodyIndent"/>
        <w:ind w:left="720" w:hanging="0"/>
        <w:rPr/>
      </w:pPr>
      <w:r>
        <w:rPr/>
        <w:t>*Less than 0.05 percent.</w:t>
      </w:r>
    </w:p>
    <w:p>
      <w:pPr>
        <w:pStyle w:val="TextBodyIndent"/>
        <w:ind w:left="720" w:hanging="0"/>
        <w:rPr/>
      </w:pPr>
      <w:r>
        <w:rPr/>
        <w:t>Hawaii, Puerto Rico, and the Virgin Islands are each considered one LEA/SEA.</w:t>
      </w:r>
      <w:r>
        <w:br w:type="page"/>
      </w:r>
    </w:p>
    <w:p>
      <w:pPr>
        <w:pStyle w:val="TextBodyIndent"/>
        <w:spacing w:before="0" w:after="0"/>
        <w:ind w:left="0" w:hanging="0"/>
        <w:rPr>
          <w:sz w:val="20"/>
        </w:rPr>
      </w:pPr>
      <w:r>
        <w:rPr>
          <w:rFonts w:cs="Arial"/>
          <w:b/>
          <w:bCs/>
          <w:sz w:val="20"/>
        </w:rPr>
        <w:t>Table 9</w:t>
      </w:r>
    </w:p>
    <w:p>
      <w:pPr>
        <w:pStyle w:val="TextBodyIndent"/>
        <w:ind w:left="0" w:hanging="0"/>
        <w:rPr>
          <w:rFonts w:cs="Arial"/>
          <w:sz w:val="20"/>
        </w:rPr>
      </w:pPr>
      <w:r>
        <w:rPr>
          <w:rFonts w:cs="Arial"/>
          <w:sz w:val="20"/>
        </w:rPr>
        <w:t>Total number of students found to have brought a firearm to school, 1996-1997 through 2001-2002</w:t>
      </w:r>
    </w:p>
    <w:p>
      <w:pPr>
        <w:pStyle w:val="TextBodyIndent"/>
        <w:ind w:left="0" w:hanging="0"/>
        <w:rPr>
          <w:rFonts w:cs="Arial"/>
          <w:b/>
          <w:b/>
          <w:sz w:val="20"/>
        </w:rPr>
      </w:pPr>
      <w:r>
        <w:rPr>
          <w:rFonts w:cs="Arial"/>
          <w:b/>
          <w:sz w:val="20"/>
        </w:rPr>
      </w:r>
    </w:p>
    <w:tbl>
      <w:tblPr>
        <w:tblW w:w="7734" w:type="dxa"/>
        <w:jc w:val="center"/>
        <w:tblInd w:w="0" w:type="dxa"/>
        <w:tblCellMar>
          <w:top w:w="0" w:type="dxa"/>
          <w:left w:w="108" w:type="dxa"/>
          <w:bottom w:w="0" w:type="dxa"/>
          <w:right w:w="108" w:type="dxa"/>
        </w:tblCellMar>
      </w:tblPr>
      <w:tblGrid>
        <w:gridCol w:w="1728"/>
        <w:gridCol w:w="999"/>
        <w:gridCol w:w="999"/>
        <w:gridCol w:w="1000"/>
        <w:gridCol w:w="999"/>
        <w:gridCol w:w="999"/>
        <w:gridCol w:w="1005"/>
        <w:gridCol w:w="5"/>
      </w:tblGrid>
      <w:tr>
        <w:trPr/>
        <w:tc>
          <w:tcPr>
            <w:tcW w:w="1728" w:type="dxa"/>
            <w:tcBorders>
              <w:top w:val="single" w:sz="4" w:space="0" w:color="000000"/>
              <w:left w:val="single" w:sz="4" w:space="0" w:color="000000"/>
            </w:tcBorders>
            <w:vAlign w:val="bottom"/>
          </w:tcPr>
          <w:p>
            <w:pPr>
              <w:pStyle w:val="Normal"/>
              <w:snapToGrid w:val="false"/>
              <w:spacing w:lineRule="auto" w:line="240"/>
              <w:jc w:val="left"/>
              <w:rPr>
                <w:rFonts w:ascii="Arial" w:hAnsi="Arial" w:cs="Arial"/>
                <w:b/>
                <w:b/>
                <w:color w:val="000000"/>
                <w:sz w:val="16"/>
                <w:szCs w:val="16"/>
              </w:rPr>
            </w:pPr>
            <w:r>
              <w:rPr>
                <w:rFonts w:cs="Arial" w:ascii="Arial" w:hAnsi="Arial"/>
                <w:b/>
                <w:color w:val="000000"/>
                <w:sz w:val="16"/>
                <w:szCs w:val="16"/>
              </w:rPr>
            </w:r>
          </w:p>
        </w:tc>
        <w:tc>
          <w:tcPr>
            <w:tcW w:w="6006" w:type="dxa"/>
            <w:gridSpan w:val="6"/>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jc w:val="center"/>
              <w:rPr>
                <w:rFonts w:ascii="Arial" w:hAnsi="Arial" w:cs="Arial"/>
                <w:b/>
                <w:b/>
                <w:color w:val="000000"/>
                <w:sz w:val="16"/>
                <w:szCs w:val="16"/>
              </w:rPr>
            </w:pPr>
            <w:r>
              <w:rPr>
                <w:rFonts w:cs="Arial" w:ascii="Arial" w:hAnsi="Arial"/>
                <w:b/>
                <w:color w:val="000000"/>
                <w:sz w:val="16"/>
                <w:szCs w:val="16"/>
              </w:rPr>
              <w:t>School Year</w:t>
            </w:r>
          </w:p>
        </w:tc>
      </w:tr>
      <w:tr>
        <w:trPr/>
        <w:tc>
          <w:tcPr>
            <w:tcW w:w="1728" w:type="dxa"/>
            <w:tcBorders>
              <w:left w:val="single" w:sz="4" w:space="0" w:color="000000"/>
              <w:bottom w:val="single" w:sz="4" w:space="0" w:color="000000"/>
            </w:tcBorders>
            <w:vAlign w:val="bottom"/>
          </w:tcPr>
          <w:p>
            <w:pPr>
              <w:pStyle w:val="Normal"/>
              <w:spacing w:lineRule="auto" w:line="240"/>
              <w:rPr>
                <w:rFonts w:ascii="Arial" w:hAnsi="Arial" w:cs="Arial"/>
                <w:b/>
                <w:b/>
                <w:color w:val="000000"/>
                <w:sz w:val="16"/>
                <w:szCs w:val="16"/>
              </w:rPr>
            </w:pPr>
            <w:r>
              <w:rPr>
                <w:rFonts w:cs="Arial" w:ascii="Arial" w:hAnsi="Arial"/>
                <w:b/>
                <w:color w:val="000000"/>
                <w:sz w:val="16"/>
                <w:szCs w:val="16"/>
              </w:rPr>
              <w:t>State/Outlying Area</w:t>
            </w:r>
          </w:p>
        </w:tc>
        <w:tc>
          <w:tcPr>
            <w:tcW w:w="999" w:type="dxa"/>
            <w:tcBorders>
              <w:top w:val="single" w:sz="4" w:space="0" w:color="000000"/>
              <w:left w:val="single" w:sz="4" w:space="0" w:color="000000"/>
              <w:bottom w:val="single" w:sz="4" w:space="0" w:color="000000"/>
            </w:tcBorders>
            <w:vAlign w:val="bottom"/>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1996-1997</w:t>
            </w:r>
          </w:p>
        </w:tc>
        <w:tc>
          <w:tcPr>
            <w:tcW w:w="999" w:type="dxa"/>
            <w:tcBorders>
              <w:top w:val="single" w:sz="4" w:space="0" w:color="000000"/>
              <w:left w:val="single" w:sz="4" w:space="0" w:color="000000"/>
              <w:bottom w:val="single" w:sz="4" w:space="0" w:color="000000"/>
            </w:tcBorders>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1997-1998</w:t>
            </w:r>
          </w:p>
        </w:tc>
        <w:tc>
          <w:tcPr>
            <w:tcW w:w="1000" w:type="dxa"/>
            <w:tcBorders>
              <w:top w:val="single" w:sz="4" w:space="0" w:color="000000"/>
              <w:left w:val="single" w:sz="4" w:space="0" w:color="000000"/>
              <w:bottom w:val="single" w:sz="4" w:space="0" w:color="000000"/>
            </w:tcBorders>
            <w:vAlign w:val="bottom"/>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1998-1999</w:t>
            </w:r>
          </w:p>
        </w:tc>
        <w:tc>
          <w:tcPr>
            <w:tcW w:w="999" w:type="dxa"/>
            <w:tcBorders>
              <w:top w:val="single" w:sz="4" w:space="0" w:color="000000"/>
              <w:left w:val="single" w:sz="4" w:space="0" w:color="000000"/>
              <w:bottom w:val="single" w:sz="4" w:space="0" w:color="000000"/>
            </w:tcBorders>
            <w:vAlign w:val="bottom"/>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1999-2000</w:t>
            </w:r>
          </w:p>
        </w:tc>
        <w:tc>
          <w:tcPr>
            <w:tcW w:w="999" w:type="dxa"/>
            <w:tcBorders>
              <w:top w:val="single" w:sz="4" w:space="0" w:color="000000"/>
              <w:left w:val="single" w:sz="4" w:space="0" w:color="000000"/>
              <w:bottom w:val="single" w:sz="4" w:space="0" w:color="000000"/>
            </w:tcBorders>
            <w:vAlign w:val="bottom"/>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2000-2001</w:t>
            </w:r>
          </w:p>
        </w:tc>
        <w:tc>
          <w:tcPr>
            <w:tcW w:w="1010"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ind w:left="247" w:hanging="0"/>
              <w:rPr>
                <w:rFonts w:ascii="Arial" w:hAnsi="Arial" w:cs="Arial"/>
                <w:b/>
                <w:b/>
                <w:color w:val="000000"/>
                <w:sz w:val="16"/>
                <w:szCs w:val="16"/>
              </w:rPr>
            </w:pPr>
            <w:r>
              <w:rPr>
                <w:rFonts w:cs="Arial" w:ascii="Arial" w:hAnsi="Arial"/>
                <w:b/>
                <w:color w:val="000000"/>
                <w:sz w:val="16"/>
                <w:szCs w:val="16"/>
              </w:rPr>
              <w:t>2001-2002</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sz w:val="16"/>
                <w:szCs w:val="16"/>
              </w:rPr>
            </w:pPr>
            <w:r>
              <w:rPr>
                <w:rFonts w:cs="Arial" w:ascii="Arial" w:hAnsi="Arial"/>
                <w:sz w:val="16"/>
                <w:szCs w:val="16"/>
              </w:rPr>
              <w:t>Alabama</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91</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82</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174</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154</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200</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138</w:t>
            </w:r>
          </w:p>
        </w:tc>
      </w:tr>
      <w:tr>
        <w:trPr/>
        <w:tc>
          <w:tcPr>
            <w:tcW w:w="1728" w:type="dxa"/>
            <w:tcBorders>
              <w:left w:val="single" w:sz="4" w:space="0" w:color="000000"/>
            </w:tcBorders>
            <w:vAlign w:val="bottom"/>
          </w:tcPr>
          <w:p>
            <w:pPr>
              <w:pStyle w:val="Normal"/>
              <w:spacing w:lineRule="auto" w:line="240"/>
              <w:jc w:val="left"/>
              <w:rPr>
                <w:rFonts w:ascii="Arial" w:hAnsi="Arial" w:cs="Arial"/>
                <w:sz w:val="16"/>
                <w:szCs w:val="16"/>
              </w:rPr>
            </w:pPr>
            <w:r>
              <w:rPr>
                <w:rFonts w:cs="Arial" w:ascii="Arial" w:hAnsi="Arial"/>
                <w:sz w:val="16"/>
                <w:szCs w:val="16"/>
              </w:rPr>
              <w:t>Alaska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18</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r>
      <w:tr>
        <w:trPr/>
        <w:tc>
          <w:tcPr>
            <w:tcW w:w="1728" w:type="dxa"/>
            <w:tcBorders>
              <w:left w:val="single" w:sz="4" w:space="0" w:color="000000"/>
            </w:tcBorders>
            <w:vAlign w:val="bottom"/>
          </w:tcPr>
          <w:p>
            <w:pPr>
              <w:pStyle w:val="Normal"/>
              <w:spacing w:lineRule="auto" w:line="240"/>
              <w:jc w:val="left"/>
              <w:rPr>
                <w:rFonts w:ascii="Arial" w:hAnsi="Arial" w:cs="Arial"/>
                <w:sz w:val="16"/>
                <w:szCs w:val="16"/>
              </w:rPr>
            </w:pPr>
            <w:r>
              <w:rPr>
                <w:rFonts w:cs="Arial" w:ascii="Arial" w:hAnsi="Arial"/>
                <w:sz w:val="16"/>
                <w:szCs w:val="16"/>
              </w:rPr>
              <w:t>Arizona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111</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131</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124</w:t>
            </w:r>
          </w:p>
        </w:tc>
      </w:tr>
      <w:tr>
        <w:trPr/>
        <w:tc>
          <w:tcPr>
            <w:tcW w:w="1728" w:type="dxa"/>
            <w:tcBorders>
              <w:left w:val="single" w:sz="4" w:space="0" w:color="000000"/>
            </w:tcBorders>
            <w:vAlign w:val="bottom"/>
          </w:tcPr>
          <w:p>
            <w:pPr>
              <w:pStyle w:val="Normal"/>
              <w:spacing w:lineRule="auto" w:line="240"/>
              <w:jc w:val="left"/>
              <w:rPr>
                <w:rFonts w:ascii="Arial" w:hAnsi="Arial" w:cs="Arial"/>
                <w:sz w:val="16"/>
                <w:szCs w:val="16"/>
              </w:rPr>
            </w:pPr>
            <w:r>
              <w:rPr>
                <w:rFonts w:cs="Arial" w:ascii="Arial" w:hAnsi="Arial"/>
                <w:sz w:val="16"/>
                <w:szCs w:val="16"/>
              </w:rPr>
              <w:t>Arkansas</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57</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80</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California</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723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384</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290</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154</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123</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104</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Colorado</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131</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30</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110</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42</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Connecticut</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Delaware</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District of Columbia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Florida</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202</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149</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94</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95</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51</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Georgia</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244</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203</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208</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117</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111</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119</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Hawaii</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Idaho</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42</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Illinois</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250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86</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53</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Indiana</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109</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62</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41</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Iowa</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30</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Kansas</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33</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Kentucky</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72</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Louisiana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25</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113</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75</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Maine</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Maryland</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73</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34</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35</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26</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21</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Massachusetts</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54</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18</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89</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Michigan</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99</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90</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Minnesota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45</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23</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Mississippi</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47</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24</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64</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67</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Missouri</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318</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179</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171</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102</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49</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59</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Montana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Nebraska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Nevada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54</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52</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58</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56</w:t>
            </w:r>
          </w:p>
        </w:tc>
      </w:tr>
      <w:tr>
        <w:trPr/>
        <w:tc>
          <w:tcPr>
            <w:tcW w:w="1728" w:type="dxa"/>
            <w:tcBorders>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Hampshire</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000"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4"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010" w:type="dxa"/>
            <w:tcBorders>
              <w:left w:val="single" w:sz="4"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728" w:type="dxa"/>
            <w:tcBorders>
              <w:top w:val="single" w:sz="4" w:space="0" w:color="000000"/>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Jersey</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57</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1000"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51</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29</w:t>
            </w:r>
          </w:p>
        </w:tc>
        <w:tc>
          <w:tcPr>
            <w:tcW w:w="999" w:type="dxa"/>
            <w:tcBorders>
              <w:top w:val="single" w:sz="4"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1010" w:type="dxa"/>
            <w:tcBorders>
              <w:top w:val="single" w:sz="4" w:space="0" w:color="000000"/>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16</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Mexico</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23</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32</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New York</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91</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89</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88</w:t>
            </w:r>
          </w:p>
        </w:tc>
      </w:tr>
      <w:tr>
        <w:trPr/>
        <w:tc>
          <w:tcPr>
            <w:tcW w:w="1728" w:type="dxa"/>
            <w:tcBorders>
              <w:left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Carolina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121</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77</w:t>
            </w:r>
          </w:p>
        </w:tc>
        <w:tc>
          <w:tcPr>
            <w:tcW w:w="1010" w:type="dxa"/>
            <w:tcBorders>
              <w:left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r>
      <w:tr>
        <w:trPr/>
        <w:tc>
          <w:tcPr>
            <w:tcW w:w="1728" w:type="dxa"/>
            <w:tcBorders>
              <w:left w:val="single" w:sz="4"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 Dakota</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000"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010" w:type="dxa"/>
            <w:tcBorders>
              <w:left w:val="single" w:sz="4" w:space="0" w:color="000000"/>
              <w:bottom w:val="single" w:sz="2"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r>
      <w:tr>
        <w:trPr/>
        <w:tc>
          <w:tcPr>
            <w:tcW w:w="172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Ohio</w:t>
            </w:r>
          </w:p>
        </w:tc>
        <w:tc>
          <w:tcPr>
            <w:tcW w:w="999" w:type="dxa"/>
            <w:tcBorders>
              <w:top w:val="single" w:sz="2"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MD</w:t>
            </w:r>
          </w:p>
        </w:tc>
        <w:tc>
          <w:tcPr>
            <w:tcW w:w="999" w:type="dxa"/>
            <w:tcBorders>
              <w:top w:val="single" w:sz="2"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119</w:t>
            </w:r>
          </w:p>
        </w:tc>
        <w:tc>
          <w:tcPr>
            <w:tcW w:w="1000" w:type="dxa"/>
            <w:tcBorders>
              <w:top w:val="single" w:sz="2"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77</w:t>
            </w:r>
          </w:p>
        </w:tc>
        <w:tc>
          <w:tcPr>
            <w:tcW w:w="999" w:type="dxa"/>
            <w:tcBorders>
              <w:top w:val="single" w:sz="2"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199</w:t>
            </w:r>
          </w:p>
        </w:tc>
        <w:tc>
          <w:tcPr>
            <w:tcW w:w="999" w:type="dxa"/>
            <w:tcBorders>
              <w:top w:val="single" w:sz="2" w:space="0" w:color="000000"/>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135</w:t>
            </w:r>
          </w:p>
        </w:tc>
        <w:tc>
          <w:tcPr>
            <w:tcW w:w="1005" w:type="dxa"/>
            <w:tcBorders>
              <w:top w:val="single" w:sz="2" w:space="0" w:color="000000"/>
              <w:left w:val="single" w:sz="4"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53</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Oklahoma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31</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1005" w:type="dxa"/>
            <w:tcBorders>
              <w:left w:val="single" w:sz="4"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60</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Oregon</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85</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135</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48</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87</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1005" w:type="dxa"/>
            <w:tcBorders>
              <w:left w:val="single" w:sz="4"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Pennsylvania</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200</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121</w:t>
            </w:r>
          </w:p>
        </w:tc>
        <w:tc>
          <w:tcPr>
            <w:tcW w:w="1000"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76</w:t>
            </w:r>
          </w:p>
        </w:tc>
        <w:tc>
          <w:tcPr>
            <w:tcW w:w="999" w:type="dxa"/>
            <w:tcBorders>
              <w:left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40</w:t>
            </w:r>
          </w:p>
        </w:tc>
        <w:tc>
          <w:tcPr>
            <w:tcW w:w="1005" w:type="dxa"/>
            <w:tcBorders>
              <w:left w:val="single" w:sz="4"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w:t>
            </w:r>
          </w:p>
        </w:tc>
      </w:tr>
      <w:tr>
        <w:trPr/>
        <w:tc>
          <w:tcPr>
            <w:tcW w:w="172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Puerto Rico</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1000"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4"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5" w:type="dxa"/>
            <w:tcBorders>
              <w:left w:val="single" w:sz="4" w:space="0" w:color="000000"/>
              <w:bottom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r>
      <w:tr>
        <w:trPr/>
        <w:tc>
          <w:tcPr>
            <w:tcW w:w="172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Rhode Island</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w:t>
            </w:r>
          </w:p>
        </w:tc>
        <w:tc>
          <w:tcPr>
            <w:tcW w:w="1000"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005" w:type="dxa"/>
            <w:tcBorders>
              <w:top w:val="single" w:sz="2" w:space="0" w:color="000000"/>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Carolina</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94</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85</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52</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55</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43</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34</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South Dakota</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26</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Tennessee</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98</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192</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152</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109</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88</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80</w:t>
            </w:r>
          </w:p>
        </w:tc>
      </w:tr>
      <w:tr>
        <w:trPr/>
        <w:tc>
          <w:tcPr>
            <w:tcW w:w="172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Texas</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532</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424</w:t>
            </w:r>
          </w:p>
        </w:tc>
        <w:tc>
          <w:tcPr>
            <w:tcW w:w="1000"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294</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237</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204</w:t>
            </w:r>
          </w:p>
        </w:tc>
        <w:tc>
          <w:tcPr>
            <w:tcW w:w="1005" w:type="dxa"/>
            <w:tcBorders>
              <w:left w:val="single" w:sz="2" w:space="0" w:color="000000"/>
              <w:bottom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177</w:t>
            </w:r>
          </w:p>
        </w:tc>
      </w:tr>
      <w:tr>
        <w:trPr/>
        <w:tc>
          <w:tcPr>
            <w:tcW w:w="172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Utah</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80</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1000"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13</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50</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53</w:t>
            </w:r>
          </w:p>
        </w:tc>
        <w:tc>
          <w:tcPr>
            <w:tcW w:w="1005" w:type="dxa"/>
            <w:tcBorders>
              <w:top w:val="single" w:sz="2" w:space="0" w:color="000000"/>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83</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Vermont</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Virginia</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99</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115</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259</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204</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197</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Washington</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146</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118</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115</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144</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106</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92</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West Virginia</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27</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17</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14</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9</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12</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Wisconsin</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54</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66</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71</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51</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46</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30</w:t>
            </w:r>
          </w:p>
        </w:tc>
      </w:tr>
      <w:tr>
        <w:trPr/>
        <w:tc>
          <w:tcPr>
            <w:tcW w:w="172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Wyoming</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0"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11</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16</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6</w:t>
            </w:r>
          </w:p>
        </w:tc>
        <w:tc>
          <w:tcPr>
            <w:tcW w:w="1005" w:type="dxa"/>
            <w:tcBorders>
              <w:left w:val="single" w:sz="2" w:space="0" w:color="000000"/>
              <w:bottom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7</w:t>
            </w:r>
          </w:p>
        </w:tc>
      </w:tr>
      <w:tr>
        <w:trPr/>
        <w:tc>
          <w:tcPr>
            <w:tcW w:w="1728" w:type="dxa"/>
            <w:tcBorders>
              <w:top w:val="single" w:sz="2" w:space="0" w:color="000000"/>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American Samoa</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MD</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0"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MD</w:t>
            </w:r>
          </w:p>
        </w:tc>
        <w:tc>
          <w:tcPr>
            <w:tcW w:w="999" w:type="dxa"/>
            <w:tcBorders>
              <w:top w:val="single" w:sz="2" w:space="0" w:color="000000"/>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5" w:type="dxa"/>
            <w:tcBorders>
              <w:top w:val="single" w:sz="2" w:space="0" w:color="000000"/>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Guam</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5</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r>
      <w:tr>
        <w:trPr/>
        <w:tc>
          <w:tcPr>
            <w:tcW w:w="1728" w:type="dxa"/>
            <w:tcBorders>
              <w:left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Northern Marianas</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0"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1005" w:type="dxa"/>
            <w:tcBorders>
              <w:left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r>
      <w:tr>
        <w:trPr/>
        <w:tc>
          <w:tcPr>
            <w:tcW w:w="1728" w:type="dxa"/>
            <w:tcBorders>
              <w:left w:val="single" w:sz="2" w:space="0" w:color="000000"/>
              <w:bottom w:val="single" w:sz="2"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Virgin Islands</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1</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w:t>
            </w:r>
          </w:p>
        </w:tc>
        <w:tc>
          <w:tcPr>
            <w:tcW w:w="1000"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0</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w:t>
            </w:r>
          </w:p>
        </w:tc>
        <w:tc>
          <w:tcPr>
            <w:tcW w:w="999" w:type="dxa"/>
            <w:tcBorders>
              <w:left w:val="single" w:sz="2" w:space="0" w:color="000000"/>
              <w:bottom w:val="single" w:sz="2"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c>
          <w:tcPr>
            <w:tcW w:w="1005" w:type="dxa"/>
            <w:tcBorders>
              <w:left w:val="single" w:sz="2" w:space="0" w:color="000000"/>
              <w:bottom w:val="single" w:sz="2" w:space="0" w:color="000000"/>
              <w:right w:val="single" w:sz="2"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w:t>
            </w:r>
          </w:p>
        </w:tc>
      </w:tr>
      <w:tr>
        <w:trPr/>
        <w:tc>
          <w:tcPr>
            <w:tcW w:w="1728" w:type="dxa"/>
            <w:tcBorders>
              <w:top w:val="single" w:sz="2" w:space="0" w:color="000000"/>
              <w:left w:val="single" w:sz="4" w:space="0" w:color="000000"/>
              <w:bottom w:val="single" w:sz="4" w:space="0" w:color="000000"/>
            </w:tcBorders>
            <w:vAlign w:val="bottom"/>
          </w:tcPr>
          <w:p>
            <w:pPr>
              <w:pStyle w:val="Normal"/>
              <w:spacing w:lineRule="auto" w:line="240"/>
              <w:jc w:val="left"/>
              <w:rPr>
                <w:rFonts w:ascii="Arial" w:hAnsi="Arial" w:cs="Arial"/>
                <w:color w:val="000000"/>
                <w:sz w:val="16"/>
                <w:szCs w:val="16"/>
              </w:rPr>
            </w:pPr>
            <w:r>
              <w:rPr>
                <w:rFonts w:cs="Arial" w:ascii="Arial" w:hAnsi="Arial"/>
                <w:color w:val="000000"/>
                <w:sz w:val="16"/>
                <w:szCs w:val="16"/>
              </w:rPr>
              <w:t>Total</w:t>
            </w:r>
          </w:p>
        </w:tc>
        <w:tc>
          <w:tcPr>
            <w:tcW w:w="999" w:type="dxa"/>
            <w:tcBorders>
              <w:top w:val="single" w:sz="2" w:space="0" w:color="000000"/>
              <w:left w:val="single" w:sz="2"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4,787</w:t>
            </w:r>
          </w:p>
        </w:tc>
        <w:tc>
          <w:tcPr>
            <w:tcW w:w="999" w:type="dxa"/>
            <w:tcBorders>
              <w:top w:val="single" w:sz="2" w:space="0" w:color="000000"/>
              <w:left w:val="single" w:sz="2"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3,660</w:t>
            </w:r>
          </w:p>
        </w:tc>
        <w:tc>
          <w:tcPr>
            <w:tcW w:w="1000" w:type="dxa"/>
            <w:tcBorders>
              <w:top w:val="single" w:sz="2" w:space="0" w:color="000000"/>
              <w:left w:val="single" w:sz="2"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3,477</w:t>
            </w:r>
          </w:p>
        </w:tc>
        <w:tc>
          <w:tcPr>
            <w:tcW w:w="999" w:type="dxa"/>
            <w:tcBorders>
              <w:top w:val="single" w:sz="2" w:space="0" w:color="000000"/>
              <w:left w:val="single" w:sz="2"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2,835</w:t>
            </w:r>
          </w:p>
        </w:tc>
        <w:tc>
          <w:tcPr>
            <w:tcW w:w="999" w:type="dxa"/>
            <w:tcBorders>
              <w:top w:val="single" w:sz="2" w:space="0" w:color="000000"/>
              <w:left w:val="single" w:sz="2" w:space="0" w:color="000000"/>
              <w:bottom w:val="single" w:sz="4" w:space="0" w:color="000000"/>
            </w:tcBorders>
            <w:vAlign w:val="bottom"/>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2,537</w:t>
            </w:r>
          </w:p>
        </w:tc>
        <w:tc>
          <w:tcPr>
            <w:tcW w:w="1010" w:type="dxa"/>
            <w:tcBorders>
              <w:top w:val="single" w:sz="2" w:space="0" w:color="000000"/>
              <w:left w:val="single" w:sz="2" w:space="0" w:color="000000"/>
              <w:bottom w:val="single" w:sz="4" w:space="0" w:color="000000"/>
              <w:right w:val="single" w:sz="4" w:space="0" w:color="000000"/>
            </w:tcBorders>
            <w:vAlign w:val="center"/>
          </w:tcPr>
          <w:p>
            <w:pPr>
              <w:pStyle w:val="Normal"/>
              <w:tabs>
                <w:tab w:val="clear" w:pos="720"/>
                <w:tab w:val="decimal" w:pos="672" w:leader="none"/>
              </w:tabs>
              <w:spacing w:lineRule="auto" w:line="240"/>
              <w:jc w:val="left"/>
              <w:rPr>
                <w:rFonts w:ascii="Arial" w:hAnsi="Arial" w:cs="Arial"/>
                <w:sz w:val="16"/>
                <w:szCs w:val="16"/>
              </w:rPr>
            </w:pPr>
            <w:r>
              <w:rPr>
                <w:rFonts w:cs="Arial" w:ascii="Arial" w:hAnsi="Arial"/>
                <w:sz w:val="16"/>
                <w:szCs w:val="16"/>
              </w:rPr>
              <w:t>2,554</w:t>
            </w:r>
          </w:p>
        </w:tc>
      </w:tr>
    </w:tbl>
    <w:p>
      <w:pPr>
        <w:pStyle w:val="TextBodyIndent"/>
        <w:rPr>
          <w:b/>
          <w:b/>
          <w:bCs/>
        </w:rPr>
      </w:pPr>
      <w:r>
        <w:rPr>
          <w:b/>
          <w:bCs/>
        </w:rPr>
      </w:r>
    </w:p>
    <w:p>
      <w:pPr>
        <w:pStyle w:val="TextBodyIndent"/>
        <w:rPr>
          <w:b/>
          <w:b/>
          <w:bCs/>
        </w:rPr>
      </w:pPr>
      <w:r>
        <w:rPr>
          <w:b/>
          <w:bCs/>
        </w:rPr>
        <w:t>Data Notes:</w:t>
      </w:r>
    </w:p>
    <w:p>
      <w:pPr>
        <w:pStyle w:val="TextBodyIndent"/>
        <w:ind w:left="720" w:hanging="0"/>
        <w:rPr/>
      </w:pPr>
      <w:r>
        <w:rPr/>
        <w:t>MD=Missing Data</w:t>
      </w:r>
    </w:p>
    <w:p>
      <w:pPr>
        <w:pStyle w:val="TextBodyIndent"/>
        <w:ind w:left="720" w:hanging="0"/>
        <w:rPr/>
      </w:pPr>
      <w:r>
        <w:rPr/>
        <w:t>Please view year-to-year shifts with caution as changes may reflect changes in reporting rather than changes in behavior.</w:t>
      </w:r>
    </w:p>
    <w:p>
      <w:pPr>
        <w:pStyle w:val="Normal"/>
        <w:jc w:val="left"/>
        <w:rPr>
          <w:lang w:val="en-US" w:eastAsia="en-US"/>
        </w:rPr>
      </w:pPr>
      <w:r>
        <w:rPr>
          <w:lang w:val="en-US" w:eastAsia="en-US"/>
        </w:rPr>
      </w:r>
    </w:p>
    <w:p>
      <w:pPr>
        <w:sectPr>
          <w:footerReference w:type="default" r:id="rId24"/>
          <w:footnotePr>
            <w:numFmt w:val="decimal"/>
          </w:footnotePr>
          <w:type w:val="nextPage"/>
          <w:pgSz w:w="12240" w:h="15840"/>
          <w:pgMar w:left="1627" w:right="1440" w:header="0" w:top="864" w:footer="576" w:bottom="864" w:gutter="0"/>
          <w:pgNumType w:fmt="decimal"/>
          <w:formProt w:val="false"/>
          <w:textDirection w:val="lrTb"/>
          <w:docGrid w:type="default" w:linePitch="360" w:charSpace="0"/>
        </w:sectPr>
        <w:pStyle w:val="Normal"/>
        <w:jc w:val="left"/>
        <w:rPr>
          <w:lang w:val="en-US" w:eastAsia="en-US"/>
        </w:rPr>
      </w:pPr>
      <w:r>
        <w:rPr>
          <w:lang w:val="en-US" w:eastAsia="en-US"/>
        </w:rPr>
      </w:r>
    </w:p>
    <w:p>
      <w:pPr>
        <w:pStyle w:val="PlainText"/>
        <w:jc w:val="center"/>
        <w:rPr>
          <w:lang w:val="en-US" w:eastAsia="en-US"/>
        </w:rPr>
      </w:pPr>
      <w:r>
        <w:rPr>
          <w:lang w:val="en-US" w:eastAsia="en-US"/>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Normal"/>
        <w:jc w:val="center"/>
        <w:rPr>
          <w:rFonts w:ascii="Arial" w:hAnsi="Arial" w:cs="Arial"/>
          <w:b/>
          <w:b/>
          <w:sz w:val="36"/>
        </w:rPr>
      </w:pPr>
      <w:r>
        <w:rPr>
          <w:rFonts w:cs="Arial" w:ascii="Arial" w:hAnsi="Arial"/>
          <w:b/>
          <w:sz w:val="36"/>
        </w:rPr>
        <w:t>State Profiles</w:t>
      </w:r>
    </w:p>
    <w:p>
      <w:pPr>
        <w:pStyle w:val="Normal"/>
        <w:jc w:val="left"/>
        <w:rPr>
          <w:rFonts w:ascii="Arial" w:hAnsi="Arial" w:cs="Arial"/>
          <w:b/>
          <w:b/>
          <w:sz w:val="36"/>
          <w:szCs w:val="22"/>
        </w:rPr>
      </w:pPr>
      <w:r>
        <w:rPr>
          <w:rFonts w:cs="Arial" w:ascii="Arial" w:hAnsi="Arial"/>
          <w:b/>
          <w:sz w:val="36"/>
          <w:szCs w:val="22"/>
        </w:rPr>
      </w:r>
    </w:p>
    <w:p>
      <w:pPr>
        <w:sectPr>
          <w:footerReference w:type="default" r:id="rId25"/>
          <w:footnotePr>
            <w:numFmt w:val="decimal"/>
          </w:footnotePr>
          <w:type w:val="oddPage"/>
          <w:pgSz w:w="12240" w:h="15840"/>
          <w:pgMar w:left="1440" w:right="1440" w:header="0" w:top="864" w:footer="576" w:bottom="1152" w:gutter="0"/>
          <w:pgNumType w:start="0" w:fmt="decimal"/>
          <w:formProt w:val="false"/>
          <w:textDirection w:val="lrTb"/>
          <w:docGrid w:type="default" w:linePitch="360" w:charSpace="0"/>
        </w:sectPr>
        <w:pStyle w:val="Normal"/>
        <w:jc w:val="left"/>
        <w:rPr>
          <w:rFonts w:ascii="Arial" w:hAnsi="Arial" w:cs="Arial"/>
          <w:szCs w:val="22"/>
        </w:rPr>
      </w:pPr>
      <w:r>
        <w:rPr>
          <w:rFonts w:cs="Arial" w:ascii="Arial" w:hAnsi="Arial"/>
          <w:szCs w:val="22"/>
        </w:rPr>
      </w:r>
    </w:p>
    <w:p>
      <w:pPr>
        <w:pStyle w:val="Normal"/>
        <w:rPr>
          <w:rFonts w:ascii="Arial" w:hAnsi="Arial" w:cs="Arial"/>
          <w:b/>
          <w:b/>
          <w:sz w:val="28"/>
          <w:szCs w:val="28"/>
        </w:rPr>
      </w:pPr>
      <w:r>
        <w:rPr>
          <w:rFonts w:cs="Arial" w:ascii="Arial" w:hAnsi="Arial"/>
          <w:b/>
          <w:sz w:val="28"/>
          <w:szCs w:val="28"/>
          <w:lang w:val="en-US" w:eastAsia="en-US"/>
        </w:rPr>
        <w:t>Alabama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39</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37</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138</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12%</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37%</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Alabama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Data is self-reported and collected at the local school level. Statewide, several hundred individuals perform this task and human error is possible as a result.</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138</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-31%</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26"/>
          <w:footnotePr>
            <w:numFmt w:val="decimal"/>
          </w:footnotePr>
          <w:type w:val="nextPage"/>
          <w:pgSz w:w="12240" w:h="15840"/>
          <w:pgMar w:left="1440" w:right="1440" w:header="0" w:top="1440" w:footer="720" w:bottom="1440" w:gutter="0"/>
          <w:pgNumType w:start="16"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Alaska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55</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11%</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Alaska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55</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450%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2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Arizona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66</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51%</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33%</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Arizona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Data missing.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2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10a: Arizona requires LEAs to create an alternative to the suspension program, but does not require LEAs to use that option for each expelled student.</w:t>
      </w:r>
    </w:p>
    <w:p>
      <w:pPr>
        <w:pStyle w:val="Normal"/>
        <w:rPr>
          <w:rFonts w:ascii="Arial" w:hAnsi="Arial" w:cs="Arial"/>
          <w:b/>
          <w:b/>
          <w:sz w:val="28"/>
          <w:szCs w:val="28"/>
        </w:rPr>
      </w:pPr>
      <w:r>
        <w:rPr>
          <w:rFonts w:cs="Arial" w:ascii="Arial" w:hAnsi="Arial"/>
          <w:b/>
          <w:sz w:val="28"/>
          <w:szCs w:val="28"/>
          <w:lang w:val="en-US" w:eastAsia="en-US"/>
        </w:rPr>
        <w:t>Arkansas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36</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43</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16%</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Arkansas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Information on explosives does not specify what type of explosives.</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48</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150%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2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 Explosives are included in the"Other Firearms" category.</w:t>
      </w:r>
    </w:p>
    <w:p>
      <w:pPr>
        <w:pStyle w:val="Normal"/>
        <w:rPr>
          <w:rFonts w:ascii="Arial" w:hAnsi="Arial" w:cs="Arial"/>
          <w:b/>
          <w:b/>
          <w:sz w:val="28"/>
          <w:szCs w:val="28"/>
        </w:rPr>
      </w:pPr>
      <w:r>
        <w:rPr>
          <w:rFonts w:cs="Arial" w:ascii="Arial" w:hAnsi="Arial"/>
          <w:b/>
          <w:sz w:val="28"/>
          <w:szCs w:val="28"/>
          <w:lang w:val="en-US" w:eastAsia="en-US"/>
        </w:rPr>
        <w:t>California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99</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91%</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4%</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California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-19</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Colorado</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19</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32%</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68%</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Colorado</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10a. State law requires the school to offer services; parents must then request the services; the school then must serve the student.</w:t>
      </w:r>
    </w:p>
    <w:p>
      <w:pPr>
        <w:pStyle w:val="Normal"/>
        <w:rPr>
          <w:rFonts w:ascii="Arial" w:hAnsi="Arial" w:cs="Arial"/>
          <w:b/>
          <w:b/>
          <w:sz w:val="28"/>
          <w:szCs w:val="28"/>
        </w:rPr>
      </w:pPr>
      <w:r>
        <w:rPr>
          <w:rFonts w:cs="Arial" w:ascii="Arial" w:hAnsi="Arial"/>
          <w:b/>
          <w:sz w:val="28"/>
          <w:szCs w:val="28"/>
          <w:lang w:val="en-US" w:eastAsia="en-US"/>
        </w:rPr>
        <w:t>Connecticut</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Connecticut</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Delaware</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Less than .05%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Delaware</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3"/>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District of Columbia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6%</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District of Columbia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In the 2001-2002 school year, 37 local educational agencies (LEAs) operated in the District of Columbia.  However, three charter school LEAs closed in June 2002.  The report reflects responses from eligible LEAs in operation.</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Florida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29%</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Florida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95</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-46%</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Georgia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29</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66</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64</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119</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36</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46%</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Georgia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119</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6"/>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Hawaii</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Hawaii</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Idaho</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14%</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Idaho</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24%</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3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Illinois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49</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72%</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Illinois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Ninety-eight percent of the districts responded.  Some districts are choosing to not participate in NCLB.</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66%</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4"/>
          <w:szCs w:val="24"/>
        </w:rPr>
        <w:t>Caveats or notes on the data collection instrument:</w:t>
      </w:r>
    </w:p>
    <w:p>
      <w:pPr>
        <w:sectPr>
          <w:footerReference w:type="default" r:id="rId3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Indiana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29%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Indiana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Iowa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44%</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Iowa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-18%</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Kansas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32</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Kansas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36</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32</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10b. Some school districts use State at-risk funding to provide such services.</w:t>
      </w:r>
    </w:p>
    <w:p>
      <w:pPr>
        <w:pStyle w:val="Normal"/>
        <w:rPr>
          <w:rFonts w:ascii="Arial" w:hAnsi="Arial" w:cs="Arial"/>
          <w:b/>
          <w:b/>
          <w:sz w:val="28"/>
          <w:szCs w:val="28"/>
        </w:rPr>
      </w:pPr>
      <w:r>
        <w:rPr>
          <w:rFonts w:cs="Arial" w:ascii="Arial" w:hAnsi="Arial"/>
          <w:b/>
          <w:sz w:val="28"/>
          <w:szCs w:val="28"/>
          <w:lang w:val="en-US" w:eastAsia="en-US"/>
        </w:rPr>
        <w:t>Kentucky</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46%</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Kentucky</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39</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557%</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3"/>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Louisiana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28</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52</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75</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32%</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91%</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75%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Louisiana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-38</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-34%</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Maine</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Less than .05%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Maine</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Maryland</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29%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19%</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Maryland</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An audit of five local school systems resulted in one additional verfication.</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6"/>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Massachusetts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89</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29</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Massachusetts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89</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394%</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The data collection method was improved for 2001-2002 resulting in more accurate data reporting in the "Handguns" and "Other Firearms" categories.  Rifle and/or shotgun incidents have been included in the the "Other Firearms" category.  The 2000-2001 data reflects expulsions for "Handguns" only.</w:t>
      </w:r>
    </w:p>
    <w:p>
      <w:pPr>
        <w:pStyle w:val="Normal"/>
        <w:rPr>
          <w:rFonts w:ascii="Arial" w:hAnsi="Arial" w:cs="Arial"/>
          <w:b/>
          <w:b/>
          <w:sz w:val="28"/>
          <w:szCs w:val="28"/>
        </w:rPr>
      </w:pPr>
      <w:r>
        <w:rPr>
          <w:rFonts w:cs="Arial" w:ascii="Arial" w:hAnsi="Arial"/>
          <w:b/>
          <w:sz w:val="28"/>
          <w:szCs w:val="28"/>
          <w:lang w:val="en-US" w:eastAsia="en-US"/>
        </w:rPr>
        <w:t>Michigan</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38</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26%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43%</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Michigan</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Michigan uses the end-of-year student data collection cycle for determining compliance in reporting the GFSA data.</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Minnesota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rFonts w:ascii="Arial" w:hAnsi="Arial" w:cs="Arial"/>
          <w:b/>
          <w:b/>
          <w:sz w:val="24"/>
          <w:szCs w:val="24"/>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87%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Minnesota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92%</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4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Mississippi</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rFonts w:ascii="Arial" w:hAnsi="Arial" w:cs="Arial"/>
          <w:b/>
          <w:b/>
          <w:sz w:val="24"/>
          <w:szCs w:val="24"/>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37</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55%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81%</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Mississippi</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64</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Missouri</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28</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59</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36%</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86%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Missouri</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49</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59</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Montana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23</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Montana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19</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158%</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Nebraska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Nebraska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our State law has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3"/>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9. The State provided a copy of the revised statute.</w:t>
      </w:r>
    </w:p>
    <w:p>
      <w:pPr>
        <w:pStyle w:val="Normal"/>
        <w:rPr>
          <w:rFonts w:ascii="Arial" w:hAnsi="Arial" w:cs="Arial"/>
          <w:b/>
          <w:b/>
          <w:sz w:val="28"/>
          <w:szCs w:val="28"/>
        </w:rPr>
      </w:pPr>
      <w:r>
        <w:rPr>
          <w:rFonts w:cs="Arial" w:ascii="Arial" w:hAnsi="Arial"/>
          <w:b/>
          <w:sz w:val="28"/>
          <w:szCs w:val="28"/>
          <w:lang w:val="en-US" w:eastAsia="en-US"/>
        </w:rPr>
        <w:t>Nevada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91%</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Nevada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58</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New Hampshire</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New Hampshire</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New Jersey</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81%</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New Jersey</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Data is from the Web-based Electronic Violence and Vandalism Reporting System (EVRS), a unit record system.  Firearm incidents include rifles and shotguns, handguns, and bombs (explosive devices) both exploded and unexploded. One incident involving a star</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6"/>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New Mexico</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New Mexico</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-38%</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New York</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88</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60%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8%</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New York</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89</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88</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4"/>
          <w:szCs w:val="24"/>
        </w:rPr>
        <w:t>Caveats or notes on the data collection instrument:</w:t>
      </w:r>
    </w:p>
    <w:p>
      <w:pPr>
        <w:pStyle w:val="Normal"/>
        <w:tabs>
          <w:tab w:val="clear" w:pos="720"/>
          <w:tab w:val="left" w:pos="1260" w:leader="none"/>
        </w:tabs>
        <w:jc w:val="left"/>
        <w:rPr>
          <w:rFonts w:ascii="Arial" w:hAnsi="Arial" w:cs="Arial"/>
          <w:sz w:val="20"/>
          <w:lang w:val="en-US" w:eastAsia="en-US"/>
        </w:rPr>
      </w:pPr>
      <w:r>
        <w:rPr>
          <w:rFonts w:cs="Arial" w:ascii="Arial" w:hAnsi="Arial"/>
          <w:sz w:val="20"/>
          <w:lang w:val="en-US" w:eastAsia="en-US"/>
        </w:rPr>
        <w:t>Question 1a. The New York City Department of Education  (NYCDOE) does not identify firearm incidents by type of firearm.  New York City staff believe that the reported incidents were all handgun incidents.  Therefore, the incidents reported are listed inthe handgun category.</w:t>
      </w:r>
    </w:p>
    <w:p>
      <w:pPr>
        <w:pStyle w:val="Normal"/>
        <w:tabs>
          <w:tab w:val="clear" w:pos="720"/>
          <w:tab w:val="left" w:pos="1260" w:leader="none"/>
        </w:tabs>
        <w:jc w:val="left"/>
        <w:rPr>
          <w:rFonts w:ascii="Arial" w:hAnsi="Arial" w:cs="Arial"/>
          <w:sz w:val="20"/>
          <w:lang w:val="en-US" w:eastAsia="en-US"/>
        </w:rPr>
      </w:pPr>
      <w:r>
        <w:rPr>
          <w:rFonts w:cs="Arial" w:ascii="Arial" w:hAnsi="Arial"/>
          <w:sz w:val="20"/>
          <w:lang w:val="en-US" w:eastAsia="en-US"/>
        </w:rPr>
        <w:t>Question 2. The NYCDOE could not provide the number of modified expulsions.  Since there is no record of modified expulsions they have been reported as suspensions not modified.</w:t>
      </w:r>
    </w:p>
    <w:p>
      <w:pPr>
        <w:sectPr>
          <w:footerReference w:type="default" r:id="rId5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3. The New York State Education Department does not capture this information according to students with suspensions modified and those with suspensions not modified.</w:t>
      </w:r>
    </w:p>
    <w:p>
      <w:pPr>
        <w:pStyle w:val="Normal"/>
        <w:rPr>
          <w:rFonts w:ascii="Arial" w:hAnsi="Arial" w:cs="Arial"/>
          <w:b/>
          <w:b/>
          <w:sz w:val="28"/>
          <w:szCs w:val="28"/>
        </w:rPr>
      </w:pPr>
      <w:r>
        <w:rPr>
          <w:rFonts w:cs="Arial" w:ascii="Arial" w:hAnsi="Arial"/>
          <w:b/>
          <w:sz w:val="28"/>
          <w:szCs w:val="28"/>
          <w:lang w:val="en-US" w:eastAsia="en-US"/>
        </w:rPr>
        <w:t>North Carolina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38</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47</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92</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68%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North Carolina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North Carolina implemented a new data collection form in the past 2001-02 school year that provides more detailed data on individual student offenses.</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77</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92</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5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North Dakota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North Dakota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Ohio</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79%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21</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92%</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Ohio</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Ohio Department of Education did not track referrals or policy requiring information to the criminal justice or juvenile delinquency systems (Question 6.).  The Ohio Department of Education reports on the number of incidents, not students, in this report (Question 7b).</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135</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-61%</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5. The school districts did not apply for any federal funding.</w:t>
      </w:r>
    </w:p>
    <w:p>
      <w:pPr>
        <w:pStyle w:val="Normal"/>
        <w:rPr>
          <w:rFonts w:ascii="Arial" w:hAnsi="Arial" w:cs="Arial"/>
          <w:b/>
          <w:b/>
          <w:sz w:val="28"/>
          <w:szCs w:val="28"/>
        </w:rPr>
      </w:pPr>
      <w:r>
        <w:rPr>
          <w:rFonts w:cs="Arial" w:ascii="Arial" w:hAnsi="Arial"/>
          <w:b/>
          <w:sz w:val="28"/>
          <w:szCs w:val="28"/>
          <w:lang w:val="en-US" w:eastAsia="en-US"/>
        </w:rPr>
        <w:t>Oklahoma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19</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6%</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Oklahoma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Several of the rifle incidents reported were rifles found in pickup trucks from previous hunting trips.  These incidents did not result in long-term suspensions.</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362%</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Oregon</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55</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25</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99%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Oregon</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55</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38%</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3"/>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Pennsylvania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28%</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Pennsylvania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Puerto Rico</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Puerto Rico</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data were submitted by the school directors and certified by the Legal Division of the Puerto Rico Department of Education (PRDE). The reports included three cases involving four students.  There was some missing information due to the fact that many of the schools have recruited new personnel and some of the files did not include all of the information requested.  In one of the cases, the type of firearm that was used was not included, and, in another case, there was no description of the sanctions implemented by the PRDE, as established in the Student Manual. Through the development of the Community Service Program, PRDE will provide direct services to students who are suspended or expelled from their schools, including those students in violation of the Gun Free Schools Act.  In addition, the implementation of the Uniform Management Information Report System will facilitate the collection of information regarding particular cases and will ensure the validity of the statistical data to be included in federal reports.</w:t>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Rhode Island</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14%</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8%</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Rhode Island</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-22%</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6"/>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South Carolina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28</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21%</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South Carolina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One high school expelled a student for a stun gun.  Two of the expulsions for rifles and shotguns were from Adult Education Centers (not senior high schools).</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-21%</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10b. The State provides funds to support alternative schools, which students expelled for firearms may attend, but they are not aware of funds set aside for educational services targeted specifically at students expelled for firearms possession.</w:t>
      </w:r>
    </w:p>
    <w:p>
      <w:pPr>
        <w:pStyle w:val="Normal"/>
        <w:rPr>
          <w:rFonts w:ascii="Arial" w:hAnsi="Arial" w:cs="Arial"/>
          <w:b/>
          <w:b/>
          <w:sz w:val="28"/>
          <w:szCs w:val="28"/>
        </w:rPr>
      </w:pPr>
      <w:r>
        <w:rPr>
          <w:rFonts w:cs="Arial" w:ascii="Arial" w:hAnsi="Arial"/>
          <w:b/>
          <w:sz w:val="28"/>
          <w:szCs w:val="28"/>
          <w:lang w:val="en-US" w:eastAsia="en-US"/>
        </w:rPr>
        <w:t>South Dakota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South Dakota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6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Tennessee</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18</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34</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48</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41%</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Tennessee</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incidents in the "Other Firearms" category in Question 1 include incidents in which the type of firearm was unknown.</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88</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4"/>
          <w:szCs w:val="24"/>
        </w:rPr>
        <w:t>Caveats or notes on the data collection instrument:</w:t>
      </w:r>
    </w:p>
    <w:p>
      <w:pPr>
        <w:sectPr>
          <w:footerReference w:type="default" r:id="rId6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Texas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43</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123</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105</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177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76</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83%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136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77%</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Texas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204</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177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10a.  Texas State law requires expelled students to be placed in an alternative setting for all students 10 years of age or younger, for students over age 10 that have been expelled for a mandatory offense, and for students in the 26 mandatory Juvenile Justice Alternative Education Program (JJAEP) counties, as required by Texas Education Code (TEC) 37.011.</w:t>
      </w:r>
    </w:p>
    <w:p>
      <w:pPr>
        <w:pStyle w:val="Normal"/>
        <w:rPr>
          <w:rFonts w:ascii="Arial" w:hAnsi="Arial" w:cs="Arial"/>
          <w:b/>
          <w:b/>
          <w:sz w:val="28"/>
          <w:szCs w:val="28"/>
        </w:rPr>
      </w:pPr>
      <w:r>
        <w:rPr>
          <w:rFonts w:cs="Arial" w:ascii="Arial" w:hAnsi="Arial"/>
          <w:b/>
          <w:sz w:val="28"/>
          <w:szCs w:val="28"/>
          <w:lang w:val="en-US" w:eastAsia="en-US"/>
        </w:rPr>
        <w:t>Utah</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19</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35</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19</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29</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48%</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Utah</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accuracy of the reporting has improved.  The increase in the "Other Firearms" category is a result of that improvement.</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83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57%</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Vermont</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Vermont</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2"/>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10b. There are no State funds specifically for this purpose.  However, funds made available to the LEA through the general state education funding system may enable a school district to develop and operate alternative education programs.</w:t>
      </w:r>
    </w:p>
    <w:p>
      <w:pPr>
        <w:pStyle w:val="Normal"/>
        <w:rPr>
          <w:rFonts w:ascii="Arial" w:hAnsi="Arial" w:cs="Arial"/>
          <w:b/>
          <w:b/>
          <w:sz w:val="28"/>
          <w:szCs w:val="28"/>
        </w:rPr>
      </w:pPr>
      <w:r>
        <w:rPr>
          <w:rFonts w:cs="Arial" w:ascii="Arial" w:hAnsi="Arial"/>
          <w:b/>
          <w:sz w:val="28"/>
          <w:szCs w:val="28"/>
          <w:lang w:val="en-US" w:eastAsia="en-US"/>
        </w:rPr>
        <w:t>Virginia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34</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37</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55</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72</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32</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48</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88</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49</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137</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197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154</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78%</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118</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77%</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29</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15%</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42%</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Virginia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Increased attention and intensive monitoring of the data collection process has resulted in much more accurate reporting of data for LEAs.</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204</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197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3"/>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Washington</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15</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26</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13</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27</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55</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92</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41</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45%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24</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59%</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24%</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16%</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Washington</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Only 13 out of 101 schools in the Seattle School District submitted a weapons report.</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106</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92</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-14</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-13%</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4"/>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West Virginia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6</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33%</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11%</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West Virginia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our State law has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requires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12</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-50%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Question 9. The West Virginia Legislature amended State law to expand the definition of alternative education and dangerous student status allowing LEA boards to refuse to provide alternative education to dangerous students who have been expelled.  Also,the term deadly weapon was redefined.</w:t>
      </w:r>
    </w:p>
    <w:p>
      <w:pPr>
        <w:pStyle w:val="Normal"/>
        <w:rPr>
          <w:rFonts w:ascii="Arial" w:hAnsi="Arial" w:cs="Arial"/>
          <w:b/>
          <w:b/>
          <w:sz w:val="28"/>
          <w:szCs w:val="28"/>
        </w:rPr>
      </w:pPr>
      <w:r>
        <w:rPr>
          <w:rFonts w:cs="Arial" w:ascii="Arial" w:hAnsi="Arial"/>
          <w:b/>
          <w:sz w:val="28"/>
          <w:szCs w:val="28"/>
          <w:lang w:val="en-US" w:eastAsia="en-US"/>
        </w:rPr>
        <w:t>Wisconsin</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70"/>
        <w:gridCol w:w="1751"/>
        <w:gridCol w:w="1849"/>
        <w:gridCol w:w="1727"/>
        <w:gridCol w:w="1759"/>
      </w:tblGrid>
      <w:tr>
        <w:trPr/>
        <w:tc>
          <w:tcPr>
            <w:tcW w:w="1770"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51"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27"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70"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51"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8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27"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5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70"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51"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8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27"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5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70"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51"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8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27"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5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25</w:t>
            </w:r>
          </w:p>
        </w:tc>
      </w:tr>
      <w:tr>
        <w:trPr/>
        <w:tc>
          <w:tcPr>
            <w:tcW w:w="1770"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51"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8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27"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Data missing.</w:t>
            </w:r>
          </w:p>
        </w:tc>
        <w:tc>
          <w:tcPr>
            <w:tcW w:w="175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9</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56%</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17</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57%</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5%</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Wisconsin</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Data integrity checks were conducted with several school districts submitting reports with inconsistent or anomalous data.  Follow-up contacts were also made, via letters and phone calls, with several more districts failing to submit a report by the original deadline.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46</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-16</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-35%</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6"/>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The State reviewed and revised its data and could only provide data by school level.</w:t>
      </w:r>
    </w:p>
    <w:p>
      <w:pPr>
        <w:pStyle w:val="Normal"/>
        <w:rPr>
          <w:rFonts w:ascii="Arial" w:hAnsi="Arial" w:cs="Arial"/>
          <w:b/>
          <w:b/>
          <w:sz w:val="28"/>
          <w:szCs w:val="28"/>
        </w:rPr>
      </w:pPr>
      <w:r>
        <w:rPr>
          <w:rFonts w:cs="Arial" w:ascii="Arial" w:hAnsi="Arial"/>
          <w:b/>
          <w:sz w:val="28"/>
          <w:szCs w:val="28"/>
          <w:lang w:val="en-US" w:eastAsia="en-US"/>
        </w:rPr>
        <w:t>Wyoming</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2</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7</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14%</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Wyoming</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6</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7</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17%</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7"/>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American Samoa</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American Samoa</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encourages LEAs to provide educational services to expelled students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Yes, State funds are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pPr>
      <w:r>
        <w:rPr>
          <w:rFonts w:cs="Arial" w:ascii="Arial" w:hAnsi="Arial"/>
          <w:b/>
          <w:sz w:val="24"/>
          <w:szCs w:val="24"/>
        </w:rPr>
        <w:t>Caveats or notes on the data collection instrument:</w:t>
      </w:r>
    </w:p>
    <w:p>
      <w:pPr>
        <w:sectPr>
          <w:footerReference w:type="default" r:id="rId78"/>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Guam</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1</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3%</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Guam</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"Other Firearms"  in Question 1 consisted of bullets for a weapon.</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1</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79"/>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Northern Marianas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Northern Marianas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The Commonwealth of the Northern Marianas Islands is a combined SEA and LEA.</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our State law has not changed in the past 12 months.</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State law does not address the need for educational services in an alternative setting.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No, State funds are not provided.</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sectPr>
          <w:footerReference w:type="default" r:id="rId8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rPr>
          <w:rFonts w:ascii="Arial" w:hAnsi="Arial" w:cs="Arial"/>
          <w:b/>
          <w:b/>
          <w:sz w:val="28"/>
          <w:szCs w:val="28"/>
        </w:rPr>
      </w:pPr>
      <w:r>
        <w:rPr>
          <w:rFonts w:cs="Arial" w:ascii="Arial" w:hAnsi="Arial"/>
          <w:b/>
          <w:sz w:val="28"/>
          <w:szCs w:val="28"/>
          <w:lang w:val="en-US" w:eastAsia="en-US"/>
        </w:rPr>
        <w:t>Virgin Islands</w:t>
      </w:r>
    </w:p>
    <w:p>
      <w:pPr>
        <w:pStyle w:val="Normal"/>
        <w:rPr>
          <w:rFonts w:ascii="Arial" w:hAnsi="Arial" w:cs="Arial"/>
          <w:b/>
          <w:b/>
          <w:sz w:val="28"/>
          <w:szCs w:val="28"/>
        </w:rPr>
      </w:pPr>
      <w:r>
        <w:rPr>
          <w:rFonts w:cs="Arial" w:ascii="Arial" w:hAnsi="Arial"/>
          <w:b/>
          <w:sz w:val="28"/>
          <w:szCs w:val="28"/>
        </w:rPr>
      </w:r>
    </w:p>
    <w:p>
      <w:pPr>
        <w:pStyle w:val="Normal"/>
        <w:pBdr>
          <w:top w:val="single" w:sz="18" w:space="1" w:color="000000"/>
          <w:bottom w:val="single" w:sz="18" w:space="1" w:color="000000"/>
        </w:pBdr>
        <w:tabs>
          <w:tab w:val="clear" w:pos="720"/>
          <w:tab w:val="left" w:pos="1080" w:leader="none"/>
        </w:tabs>
        <w:rPr/>
      </w:pPr>
      <w:r>
        <w:rPr>
          <w:rFonts w:cs="Arial" w:ascii="Arial" w:hAnsi="Arial"/>
          <w:b/>
          <w:sz w:val="24"/>
          <w:szCs w:val="24"/>
          <w:lang w:val="en-US" w:eastAsia="en-US"/>
        </w:rPr>
        <w:t>2001-2002</w:t>
      </w:r>
      <w:r>
        <w:rPr>
          <w:rFonts w:cs="Arial" w:ascii="Arial" w:hAnsi="Arial"/>
          <w:b/>
          <w:sz w:val="24"/>
          <w:szCs w:val="24"/>
        </w:rPr>
        <w:tab/>
        <w:t>Data</w:t>
      </w:r>
    </w:p>
    <w:p>
      <w:pPr>
        <w:pStyle w:val="Normal"/>
        <w:tabs>
          <w:tab w:val="clear" w:pos="720"/>
          <w:tab w:val="left" w:pos="1080" w:leader="none"/>
        </w:tabs>
        <w:rPr>
          <w:rFonts w:ascii="Arial" w:hAnsi="Arial" w:cs="Arial"/>
          <w:b/>
          <w:b/>
          <w:sz w:val="24"/>
          <w:szCs w:val="24"/>
        </w:rPr>
      </w:pPr>
      <w:r>
        <w:rPr>
          <w:rFonts w:cs="Arial" w:ascii="Arial" w:hAnsi="Arial"/>
          <w:b/>
          <w:sz w:val="24"/>
          <w:szCs w:val="24"/>
        </w:rPr>
      </w:r>
    </w:p>
    <w:p>
      <w:pPr>
        <w:pStyle w:val="Normal"/>
        <w:tabs>
          <w:tab w:val="clear" w:pos="720"/>
          <w:tab w:val="left" w:pos="1080" w:leader="none"/>
        </w:tabs>
        <w:rPr/>
      </w:pPr>
      <w:r>
        <w:rPr/>
      </w:r>
    </w:p>
    <w:p>
      <w:pPr>
        <w:pStyle w:val="Normal"/>
        <w:tabs>
          <w:tab w:val="clear" w:pos="720"/>
          <w:tab w:val="left" w:pos="1080" w:leader="none"/>
        </w:tabs>
        <w:ind w:firstLine="720"/>
        <w:rPr>
          <w:rFonts w:ascii="Arial" w:hAnsi="Arial" w:cs="Arial"/>
          <w:b/>
          <w:b/>
          <w:sz w:val="20"/>
        </w:rPr>
      </w:pPr>
      <w:r>
        <w:rPr>
          <w:rFonts w:cs="Arial" w:ascii="Arial" w:hAnsi="Arial"/>
          <w:b/>
          <w:sz w:val="20"/>
        </w:rPr>
        <w:t>Question 1.</w:t>
        <w:tab/>
        <w:t>Number of students who were found to have brought a firearm to school.</w:t>
      </w:r>
    </w:p>
    <w:p>
      <w:pPr>
        <w:pStyle w:val="Normal"/>
        <w:tabs>
          <w:tab w:val="clear" w:pos="720"/>
          <w:tab w:val="left" w:pos="1080" w:leader="none"/>
        </w:tabs>
        <w:rPr>
          <w:rFonts w:ascii="Arial" w:hAnsi="Arial" w:cs="Arial"/>
          <w:b/>
          <w:b/>
          <w:sz w:val="20"/>
        </w:rPr>
      </w:pPr>
      <w:r>
        <w:rPr>
          <w:rFonts w:cs="Arial" w:ascii="Arial" w:hAnsi="Arial"/>
          <w:b/>
          <w:sz w:val="20"/>
        </w:rPr>
      </w:r>
    </w:p>
    <w:tbl>
      <w:tblPr>
        <w:tblW w:w="8856" w:type="dxa"/>
        <w:jc w:val="left"/>
        <w:tblInd w:w="720" w:type="dxa"/>
        <w:tblCellMar>
          <w:top w:w="0" w:type="dxa"/>
          <w:left w:w="108" w:type="dxa"/>
          <w:bottom w:w="0" w:type="dxa"/>
          <w:right w:w="108" w:type="dxa"/>
        </w:tblCellMar>
      </w:tblPr>
      <w:tblGrid>
        <w:gridCol w:w="1762"/>
        <w:gridCol w:w="1749"/>
        <w:gridCol w:w="1846"/>
        <w:gridCol w:w="1749"/>
        <w:gridCol w:w="1750"/>
      </w:tblGrid>
      <w:tr>
        <w:trPr/>
        <w:tc>
          <w:tcPr>
            <w:tcW w:w="1762" w:type="dxa"/>
            <w:tcBorders>
              <w:top w:val="single" w:sz="12" w:space="0" w:color="000000"/>
              <w:bottom w:val="single" w:sz="2" w:space="0" w:color="000000"/>
            </w:tcBorders>
          </w:tcPr>
          <w:p>
            <w:pPr>
              <w:pStyle w:val="Normal"/>
              <w:tabs>
                <w:tab w:val="clear" w:pos="720"/>
                <w:tab w:val="left" w:pos="1080" w:leader="none"/>
              </w:tabs>
              <w:spacing w:before="60" w:after="60"/>
              <w:rPr>
                <w:rFonts w:ascii="Arial" w:hAnsi="Arial" w:cs="Arial"/>
                <w:b/>
                <w:b/>
                <w:sz w:val="18"/>
                <w:szCs w:val="18"/>
              </w:rPr>
            </w:pPr>
            <w:r>
              <w:rPr>
                <w:rFonts w:cs="Arial" w:ascii="Arial" w:hAnsi="Arial"/>
                <w:b/>
                <w:sz w:val="18"/>
                <w:szCs w:val="18"/>
              </w:rPr>
              <w:t>School Level</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Handguns</w:t>
            </w:r>
          </w:p>
        </w:tc>
        <w:tc>
          <w:tcPr>
            <w:tcW w:w="1846"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Rifles/Shotguns</w:t>
            </w:r>
          </w:p>
        </w:tc>
        <w:tc>
          <w:tcPr>
            <w:tcW w:w="1749"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Other Firearms</w:t>
            </w:r>
          </w:p>
        </w:tc>
        <w:tc>
          <w:tcPr>
            <w:tcW w:w="1750" w:type="dxa"/>
            <w:tcBorders>
              <w:top w:val="single" w:sz="12" w:space="0" w:color="000000"/>
              <w:left w:val="single" w:sz="2" w:space="0" w:color="000000"/>
              <w:bottom w:val="single" w:sz="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Total</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Elementary</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Junior High</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1762"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Senior High</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846"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62" w:type="dxa"/>
            <w:tcBorders>
              <w:top w:val="single" w:sz="1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Total</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846"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49"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750" w:type="dxa"/>
            <w:tcBorders>
              <w:top w:val="single" w:sz="12" w:space="0" w:color="000000"/>
              <w:left w:val="single" w:sz="2" w:space="0" w:color="000000"/>
              <w:bottom w:val="single" w:sz="12" w:space="0" w:color="000000"/>
            </w:tcBorders>
            <w:vAlign w:val="center"/>
          </w:tcPr>
          <w:p>
            <w:pPr>
              <w:pStyle w:val="Normal"/>
              <w:tabs>
                <w:tab w:val="clear" w:pos="720"/>
                <w:tab w:val="decimal" w:pos="914" w:leader="none"/>
              </w:tabs>
              <w:spacing w:before="60" w:after="60"/>
              <w:jc w:val="left"/>
              <w:rPr>
                <w:rFonts w:ascii="Arial" w:hAnsi="Arial" w:cs="Arial"/>
                <w:sz w:val="18"/>
                <w:szCs w:val="18"/>
              </w:rPr>
            </w:pPr>
            <w:r>
              <w:rPr>
                <w:rFonts w:cs="Arial" w:ascii="Arial" w:hAnsi="Arial"/>
                <w:sz w:val="18"/>
                <w:szCs w:val="18"/>
                <w:lang w:val="en-US" w:eastAsia="en-US"/>
              </w:rPr>
              <w:t>4</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1584"/>
        <w:gridCol w:w="1584"/>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Number</w:t>
            </w:r>
          </w:p>
        </w:tc>
        <w:tc>
          <w:tcPr>
            <w:tcW w:w="1584"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2.</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shortened expulsions</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12" w:space="0" w:color="000000"/>
              <w:left w:val="single" w:sz="2" w:space="0" w:color="000000"/>
              <w:bottom w:val="single" w:sz="2" w:space="0" w:color="000000"/>
            </w:tcBorders>
            <w:vAlign w:val="center"/>
          </w:tcPr>
          <w:p>
            <w:pPr>
              <w:pStyle w:val="Normal"/>
              <w:tabs>
                <w:tab w:val="clear" w:pos="720"/>
                <w:tab w:val="decimal" w:pos="828" w:leader="none"/>
              </w:tabs>
              <w:spacing w:before="60" w:after="60"/>
              <w:jc w:val="left"/>
              <w:rPr>
                <w:rFonts w:ascii="Arial" w:hAnsi="Arial" w:cs="Arial"/>
                <w:sz w:val="18"/>
                <w:szCs w:val="18"/>
              </w:rPr>
            </w:pPr>
            <w:r>
              <w:rPr>
                <w:rFonts w:cs="Arial" w:ascii="Arial" w:hAnsi="Arial"/>
                <w:sz w:val="18"/>
                <w:szCs w:val="18"/>
                <w:lang w:val="en-US" w:eastAsia="en-US"/>
              </w:rPr>
              <w:t>75%</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3.</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pPr>
            <w:r>
              <w:rPr>
                <w:rFonts w:cs="Arial" w:ascii="Arial" w:hAnsi="Arial"/>
                <w:b/>
                <w:sz w:val="18"/>
                <w:szCs w:val="18"/>
              </w:rPr>
              <w:t xml:space="preserve">Number in #2 (above) that were </w:t>
            </w:r>
            <w:r>
              <w:rPr>
                <w:rFonts w:cs="Arial" w:ascii="Arial" w:hAnsi="Arial"/>
                <w:b/>
                <w:sz w:val="18"/>
                <w:szCs w:val="18"/>
                <w:u w:val="single"/>
              </w:rPr>
              <w:t>not</w:t>
            </w:r>
            <w:r>
              <w:rPr>
                <w:rFonts w:cs="Arial" w:ascii="Arial" w:hAnsi="Arial"/>
                <w:b/>
                <w:sz w:val="18"/>
                <w:szCs w:val="18"/>
              </w:rPr>
              <w:t xml:space="preserve"> disabled</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3</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4.</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expulsions (in #1) referred to an alternative program</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1728" w:type="dxa"/>
            <w:tcBorders>
              <w:top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5.</w:t>
            </w:r>
          </w:p>
        </w:tc>
        <w:tc>
          <w:tcPr>
            <w:tcW w:w="4680" w:type="dxa"/>
            <w:tcBorders>
              <w:top w:val="single" w:sz="2" w:space="0" w:color="000000"/>
              <w:left w:val="single" w:sz="2" w:space="0" w:color="000000"/>
              <w:bottom w:val="single" w:sz="1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Number of LEAs that have not provided an assurance of compliance</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pacing w:before="60" w:after="60"/>
              <w:jc w:val="left"/>
              <w:rPr>
                <w:rFonts w:ascii="Arial" w:hAnsi="Arial" w:cs="Arial"/>
                <w:sz w:val="18"/>
                <w:szCs w:val="18"/>
              </w:rPr>
            </w:pPr>
            <w:r>
              <w:rPr>
                <w:rFonts w:cs="Arial" w:ascii="Arial" w:hAnsi="Arial"/>
                <w:sz w:val="18"/>
                <w:szCs w:val="18"/>
                <w:lang w:val="en-US" w:eastAsia="en-US"/>
              </w:rPr>
              <w:t>0</w:t>
            </w:r>
          </w:p>
        </w:tc>
        <w:tc>
          <w:tcPr>
            <w:tcW w:w="1584" w:type="dxa"/>
            <w:tcBorders>
              <w:top w:val="single" w:sz="2" w:space="0" w:color="000000"/>
              <w:left w:val="single" w:sz="2" w:space="0" w:color="000000"/>
              <w:bottom w:val="single" w:sz="12" w:space="0" w:color="000000"/>
            </w:tcBorders>
            <w:vAlign w:val="center"/>
          </w:tcPr>
          <w:p>
            <w:pPr>
              <w:pStyle w:val="Normal"/>
              <w:tabs>
                <w:tab w:val="clear" w:pos="720"/>
                <w:tab w:val="decimal" w:pos="892" w:leader="none"/>
              </w:tabs>
              <w:snapToGrid w:val="false"/>
              <w:spacing w:before="60" w:after="60"/>
              <w:jc w:val="left"/>
              <w:rPr>
                <w:rFonts w:ascii="Arial" w:hAnsi="Arial" w:cs="Arial"/>
                <w:sz w:val="18"/>
                <w:szCs w:val="18"/>
              </w:rPr>
            </w:pPr>
            <w:r>
              <w:rPr>
                <w:rFonts w:cs="Arial" w:ascii="Arial" w:hAnsi="Arial"/>
                <w:sz w:val="18"/>
                <w:szCs w:val="18"/>
              </w:rPr>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Percent</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7a.</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7b.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reported students for a firearm offense</w:t>
            </w:r>
          </w:p>
        </w:tc>
        <w:tc>
          <w:tcPr>
            <w:tcW w:w="3168" w:type="dxa"/>
            <w:tcBorders>
              <w:top w:val="single" w:sz="2" w:space="0" w:color="000000"/>
              <w:left w:val="single" w:sz="2" w:space="0" w:color="000000"/>
              <w:bottom w:val="single" w:sz="2" w:space="0" w:color="000000"/>
            </w:tcBorders>
            <w:vAlign w:val="center"/>
          </w:tcPr>
          <w:p>
            <w:pPr>
              <w:pStyle w:val="Normal"/>
              <w:tabs>
                <w:tab w:val="clear" w:pos="720"/>
                <w:tab w:val="decimal" w:pos="1612" w:leader="none"/>
              </w:tabs>
              <w:spacing w:before="60" w:after="60"/>
              <w:jc w:val="left"/>
              <w:rPr>
                <w:rFonts w:ascii="Arial" w:hAnsi="Arial" w:cs="Arial"/>
                <w:sz w:val="18"/>
                <w:szCs w:val="18"/>
              </w:rPr>
            </w:pPr>
            <w:r>
              <w:rPr>
                <w:rFonts w:cs="Arial" w:ascii="Arial" w:hAnsi="Arial"/>
                <w:sz w:val="18"/>
                <w:szCs w:val="18"/>
                <w:lang w:val="en-US" w:eastAsia="en-US"/>
              </w:rPr>
              <w:t>100%</w:t>
            </w:r>
          </w:p>
        </w:tc>
      </w:tr>
    </w:tbl>
    <w:p>
      <w:pPr>
        <w:pStyle w:val="Normal"/>
        <w:tabs>
          <w:tab w:val="clear" w:pos="720"/>
          <w:tab w:val="left" w:pos="1080" w:leader="none"/>
        </w:tabs>
        <w:rPr>
          <w:rFonts w:ascii="Arial" w:hAnsi="Arial" w:cs="Arial"/>
          <w:sz w:val="20"/>
        </w:rPr>
      </w:pPr>
      <w:r>
        <w:rPr>
          <w:rFonts w:cs="Arial" w:ascii="Arial" w:hAnsi="Arial"/>
          <w:sz w:val="20"/>
        </w:rPr>
      </w:r>
      <w:r>
        <w:br w:type="page"/>
      </w:r>
    </w:p>
    <w:p>
      <w:pPr>
        <w:pStyle w:val="Normal"/>
        <w:pBdr>
          <w:top w:val="single" w:sz="18" w:space="1" w:color="000000"/>
          <w:bottom w:val="single" w:sz="18" w:space="1" w:color="000000"/>
        </w:pBdr>
        <w:tabs>
          <w:tab w:val="clear" w:pos="720"/>
          <w:tab w:val="left" w:pos="1080" w:leader="none"/>
        </w:tabs>
        <w:rPr/>
      </w:pPr>
      <w:r>
        <w:rPr>
          <w:rFonts w:cs="Arial" w:ascii="Arial" w:hAnsi="Arial"/>
          <w:b/>
          <w:sz w:val="28"/>
          <w:szCs w:val="28"/>
          <w:lang w:val="en-US" w:eastAsia="en-US"/>
        </w:rPr>
        <w:t>Virgin Islands</w:t>
      </w:r>
      <w:r>
        <w:rPr>
          <w:rFonts w:cs="Arial" w:ascii="Arial" w:hAnsi="Arial"/>
          <w:b/>
          <w:sz w:val="28"/>
          <w:szCs w:val="28"/>
        </w:rPr>
        <w:t xml:space="preserve"> (continued)</w:t>
      </w:r>
    </w:p>
    <w:p>
      <w:pPr>
        <w:pStyle w:val="Normal"/>
        <w:tabs>
          <w:tab w:val="clear" w:pos="720"/>
          <w:tab w:val="left" w:pos="1080" w:leader="none"/>
        </w:tabs>
        <w:rPr>
          <w:rFonts w:ascii="Arial" w:hAnsi="Arial" w:cs="Arial"/>
          <w:b/>
          <w:b/>
          <w:sz w:val="20"/>
          <w:szCs w:val="28"/>
        </w:rPr>
      </w:pPr>
      <w:r>
        <w:rPr>
          <w:rFonts w:cs="Arial" w:ascii="Arial" w:hAnsi="Arial"/>
          <w:b/>
          <w:sz w:val="20"/>
          <w:szCs w:val="28"/>
        </w:rPr>
      </w:r>
    </w:p>
    <w:p>
      <w:pPr>
        <w:pStyle w:val="Normal"/>
        <w:tabs>
          <w:tab w:val="clear" w:pos="720"/>
          <w:tab w:val="left" w:pos="1080" w:leader="none"/>
        </w:tabs>
        <w:rPr>
          <w:rFonts w:ascii="Arial" w:hAnsi="Arial" w:cs="Arial"/>
          <w:sz w:val="20"/>
        </w:rPr>
      </w:pPr>
      <w:r>
        <w:rPr>
          <w:rFonts w:cs="Arial" w:ascii="Arial" w:hAnsi="Arial"/>
          <w:sz w:val="20"/>
        </w:rPr>
      </w:r>
    </w:p>
    <w:p>
      <w:pPr>
        <w:pStyle w:val="Normal"/>
        <w:pBdr>
          <w:bottom w:val="single" w:sz="8" w:space="1" w:color="000000"/>
        </w:pBdr>
        <w:tabs>
          <w:tab w:val="clear" w:pos="720"/>
          <w:tab w:val="left" w:pos="1260" w:leader="none"/>
        </w:tabs>
        <w:rPr>
          <w:rFonts w:ascii="Arial" w:hAnsi="Arial" w:cs="Arial"/>
          <w:b/>
          <w:b/>
          <w:sz w:val="20"/>
        </w:rPr>
      </w:pPr>
      <w:r>
        <w:rPr>
          <w:rFonts w:cs="Arial" w:ascii="Arial" w:hAnsi="Arial"/>
          <w:b/>
          <w:sz w:val="20"/>
        </w:rPr>
        <w:t>Question 8.</w:t>
        <w:tab/>
        <w:t>Information that explains any circumstances affecting the quality of data submitted.</w:t>
      </w:r>
    </w:p>
    <w:p>
      <w:pPr>
        <w:pStyle w:val="Normal"/>
        <w:tabs>
          <w:tab w:val="clear" w:pos="720"/>
          <w:tab w:val="left" w:pos="1260" w:leader="none"/>
        </w:tabs>
        <w:jc w:val="left"/>
        <w:rPr>
          <w:rFonts w:ascii="Arial" w:hAnsi="Arial" w:cs="Arial"/>
          <w:sz w:val="20"/>
        </w:rPr>
      </w:pPr>
      <w:r>
        <w:rPr>
          <w:rFonts w:cs="Arial" w:ascii="Arial" w:hAnsi="Arial"/>
          <w:sz w:val="20"/>
          <w:lang w:val="en-US" w:eastAsia="en-US"/>
        </w:rPr>
        <w:t>None.</w:t>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080" w:leader="none"/>
        </w:tabs>
        <w:rPr>
          <w:rFonts w:ascii="Arial" w:hAnsi="Arial" w:cs="Arial"/>
          <w:sz w:val="20"/>
        </w:rPr>
      </w:pPr>
      <w:r>
        <w:rPr>
          <w:rFonts w:cs="Arial" w:ascii="Arial" w:hAnsi="Arial"/>
          <w:sz w:val="20"/>
        </w:rPr>
      </w:r>
    </w:p>
    <w:tbl>
      <w:tblPr>
        <w:tblW w:w="9576" w:type="dxa"/>
        <w:jc w:val="left"/>
        <w:tblInd w:w="0" w:type="dxa"/>
        <w:tblCellMar>
          <w:top w:w="0" w:type="dxa"/>
          <w:left w:w="108" w:type="dxa"/>
          <w:bottom w:w="0" w:type="dxa"/>
          <w:right w:w="108" w:type="dxa"/>
        </w:tblCellMar>
      </w:tblPr>
      <w:tblGrid>
        <w:gridCol w:w="1728"/>
        <w:gridCol w:w="4680"/>
        <w:gridCol w:w="3168"/>
      </w:tblGrid>
      <w:tr>
        <w:trPr/>
        <w:tc>
          <w:tcPr>
            <w:tcW w:w="1728"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4680" w:type="dxa"/>
            <w:tcBorders>
              <w:bottom w:val="single" w:sz="12" w:space="0" w:color="000000"/>
            </w:tcBorders>
          </w:tcPr>
          <w:p>
            <w:pPr>
              <w:pStyle w:val="Normal"/>
              <w:tabs>
                <w:tab w:val="clear" w:pos="720"/>
                <w:tab w:val="left" w:pos="1080" w:leader="none"/>
              </w:tabs>
              <w:snapToGrid w:val="false"/>
              <w:spacing w:before="60" w:after="60"/>
              <w:rPr>
                <w:rFonts w:ascii="Arial" w:hAnsi="Arial" w:cs="Arial"/>
                <w:sz w:val="18"/>
                <w:szCs w:val="18"/>
              </w:rPr>
            </w:pPr>
            <w:r>
              <w:rPr>
                <w:rFonts w:cs="Arial" w:ascii="Arial" w:hAnsi="Arial"/>
                <w:sz w:val="18"/>
                <w:szCs w:val="18"/>
              </w:rPr>
            </w:r>
          </w:p>
        </w:tc>
        <w:tc>
          <w:tcPr>
            <w:tcW w:w="3168" w:type="dxa"/>
            <w:tcBorders>
              <w:bottom w:val="single" w:sz="12" w:space="0" w:color="000000"/>
            </w:tcBorders>
          </w:tcPr>
          <w:p>
            <w:pPr>
              <w:pStyle w:val="Normal"/>
              <w:tabs>
                <w:tab w:val="clear" w:pos="720"/>
                <w:tab w:val="left" w:pos="1080" w:leader="none"/>
              </w:tabs>
              <w:spacing w:before="60" w:after="60"/>
              <w:jc w:val="center"/>
              <w:rPr>
                <w:rFonts w:ascii="Arial" w:hAnsi="Arial" w:cs="Arial"/>
                <w:b/>
                <w:b/>
                <w:sz w:val="18"/>
                <w:szCs w:val="18"/>
              </w:rPr>
            </w:pPr>
            <w:r>
              <w:rPr>
                <w:rFonts w:cs="Arial" w:ascii="Arial" w:hAnsi="Arial"/>
                <w:b/>
                <w:sz w:val="18"/>
                <w:szCs w:val="18"/>
              </w:rPr>
              <w:t>Response</w:t>
            </w:r>
          </w:p>
        </w:tc>
      </w:tr>
      <w:tr>
        <w:trPr/>
        <w:tc>
          <w:tcPr>
            <w:tcW w:w="1728" w:type="dxa"/>
            <w:tcBorders>
              <w:top w:val="single" w:sz="1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9.</w:t>
            </w:r>
          </w:p>
        </w:tc>
        <w:tc>
          <w:tcPr>
            <w:tcW w:w="4680" w:type="dxa"/>
            <w:tcBorders>
              <w:top w:val="single" w:sz="1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Percentage of LEAs that submitted a GFSA report to the State</w:t>
            </w:r>
          </w:p>
        </w:tc>
        <w:tc>
          <w:tcPr>
            <w:tcW w:w="3168" w:type="dxa"/>
            <w:tcBorders>
              <w:top w:val="single" w:sz="1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Data missing.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10a.</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How does your State law address the need for providing educational services in an alternative setting to students expelled from their regular school setting?</w:t>
            </w:r>
          </w:p>
        </w:tc>
        <w:tc>
          <w:tcPr>
            <w:tcW w:w="3168" w:type="dxa"/>
            <w:tcBorders>
              <w:top w:val="single" w:sz="2" w:space="0" w:color="000000"/>
              <w:left w:val="single" w:sz="2" w:space="0" w:color="000000"/>
              <w:bottom w:val="single" w:sz="2" w:space="0" w:color="000000"/>
            </w:tcBorders>
            <w:vAlign w:val="center"/>
          </w:tcPr>
          <w:p>
            <w:pPr>
              <w:pStyle w:val="Normal"/>
              <w:spacing w:before="60" w:after="60"/>
              <w:jc w:val="left"/>
              <w:rPr>
                <w:rFonts w:ascii="Arial" w:hAnsi="Arial" w:cs="Arial"/>
                <w:sz w:val="18"/>
                <w:szCs w:val="18"/>
              </w:rPr>
            </w:pPr>
            <w:r>
              <w:rPr>
                <w:rFonts w:cs="Arial" w:ascii="Arial" w:hAnsi="Arial"/>
                <w:sz w:val="18"/>
                <w:szCs w:val="18"/>
                <w:lang w:val="en-US" w:eastAsia="en-US"/>
              </w:rPr>
              <w:t>Data missing.</w:t>
            </w:r>
          </w:p>
        </w:tc>
      </w:tr>
      <w:tr>
        <w:trPr/>
        <w:tc>
          <w:tcPr>
            <w:tcW w:w="1728" w:type="dxa"/>
            <w:tcBorders>
              <w:top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Question 10b.</w:t>
            </w:r>
          </w:p>
        </w:tc>
        <w:tc>
          <w:tcPr>
            <w:tcW w:w="4680" w:type="dxa"/>
            <w:tcBorders>
              <w:top w:val="single" w:sz="2" w:space="0" w:color="000000"/>
              <w:left w:val="single" w:sz="2" w:space="0" w:color="000000"/>
              <w:bottom w:val="single" w:sz="2" w:space="0" w:color="000000"/>
            </w:tcBorders>
            <w:vAlign w:val="center"/>
          </w:tcPr>
          <w:p>
            <w:pPr>
              <w:pStyle w:val="Normal"/>
              <w:tabs>
                <w:tab w:val="clear" w:pos="720"/>
                <w:tab w:val="left" w:pos="1080" w:leader="none"/>
              </w:tabs>
              <w:spacing w:before="60" w:after="60"/>
              <w:jc w:val="left"/>
              <w:rPr>
                <w:rFonts w:ascii="Arial" w:hAnsi="Arial" w:cs="Arial"/>
                <w:b/>
                <w:b/>
                <w:sz w:val="18"/>
                <w:szCs w:val="18"/>
              </w:rPr>
            </w:pPr>
            <w:r>
              <w:rPr>
                <w:rFonts w:cs="Arial" w:ascii="Arial" w:hAnsi="Arial"/>
                <w:b/>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000000"/>
              <w:left w:val="single" w:sz="2" w:space="0" w:color="000000"/>
              <w:bottom w:val="single" w:sz="2" w:space="0" w:color="000000"/>
            </w:tcBorders>
            <w:vAlign w:val="center"/>
          </w:tcPr>
          <w:p>
            <w:pPr>
              <w:pStyle w:val="Normal"/>
              <w:spacing w:before="60" w:after="60"/>
              <w:rPr>
                <w:rFonts w:ascii="Arial" w:hAnsi="Arial" w:cs="Arial"/>
                <w:sz w:val="18"/>
                <w:szCs w:val="18"/>
              </w:rPr>
            </w:pPr>
            <w:r>
              <w:rPr>
                <w:rFonts w:cs="Arial" w:ascii="Arial" w:hAnsi="Arial"/>
                <w:sz w:val="18"/>
                <w:szCs w:val="18"/>
                <w:lang w:val="en-US" w:eastAsia="en-US"/>
              </w:rPr>
              <w:t>Data missing.</w:t>
            </w:r>
          </w:p>
        </w:tc>
      </w:tr>
    </w:tbl>
    <w:p>
      <w:pPr>
        <w:pStyle w:val="Normal"/>
        <w:tabs>
          <w:tab w:val="clear" w:pos="720"/>
          <w:tab w:val="left" w:pos="1080" w:leader="none"/>
        </w:tabs>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8"/>
          <w:szCs w:val="28"/>
        </w:rPr>
      </w:pPr>
      <w:r>
        <w:rPr>
          <w:rFonts w:cs="Arial" w:ascii="Arial" w:hAnsi="Arial"/>
          <w:b/>
          <w:sz w:val="28"/>
          <w:szCs w:val="28"/>
        </w:rPr>
        <w:t>Year-to-Year Data Comparison─2000-2001 to 2001-2002</w:t>
      </w:r>
    </w:p>
    <w:p>
      <w:pPr>
        <w:pStyle w:val="Normal"/>
        <w:tabs>
          <w:tab w:val="clear" w:pos="720"/>
          <w:tab w:val="left" w:pos="1260" w:leader="none"/>
        </w:tabs>
        <w:jc w:val="left"/>
        <w:rPr>
          <w:rFonts w:ascii="Arial" w:hAnsi="Arial" w:cs="Arial"/>
          <w:b/>
          <w:b/>
          <w:sz w:val="20"/>
          <w:szCs w:val="28"/>
        </w:rPr>
      </w:pPr>
      <w:r>
        <w:rPr>
          <w:rFonts w:cs="Arial" w:ascii="Arial" w:hAnsi="Arial"/>
          <w:b/>
          <w:sz w:val="20"/>
          <w:szCs w:val="28"/>
        </w:rPr>
      </w:r>
    </w:p>
    <w:p>
      <w:pPr>
        <w:pStyle w:val="Normal"/>
        <w:tabs>
          <w:tab w:val="clear" w:pos="720"/>
          <w:tab w:val="left" w:pos="1260" w:leader="none"/>
        </w:tabs>
        <w:jc w:val="left"/>
        <w:rPr>
          <w:sz w:val="20"/>
        </w:rPr>
      </w:pPr>
      <w:r>
        <w:rPr>
          <w:sz w:val="20"/>
        </w:rPr>
      </w:r>
    </w:p>
    <w:tbl>
      <w:tblPr>
        <w:tblW w:w="6768" w:type="dxa"/>
        <w:jc w:val="left"/>
        <w:tblInd w:w="1440" w:type="dxa"/>
        <w:tblCellMar>
          <w:top w:w="0" w:type="dxa"/>
          <w:left w:w="108" w:type="dxa"/>
          <w:bottom w:w="0" w:type="dxa"/>
          <w:right w:w="108" w:type="dxa"/>
        </w:tblCellMar>
      </w:tblPr>
      <w:tblGrid>
        <w:gridCol w:w="3888"/>
        <w:gridCol w:w="1440"/>
        <w:gridCol w:w="1440"/>
      </w:tblGrid>
      <w:tr>
        <w:trPr/>
        <w:tc>
          <w:tcPr>
            <w:tcW w:w="3888" w:type="dxa"/>
            <w:tcBorders>
              <w:bottom w:val="single" w:sz="12" w:space="0" w:color="000000"/>
            </w:tcBorders>
          </w:tcPr>
          <w:p>
            <w:pPr>
              <w:pStyle w:val="Normal"/>
              <w:tabs>
                <w:tab w:val="clear" w:pos="720"/>
                <w:tab w:val="left" w:pos="1260" w:leader="none"/>
              </w:tabs>
              <w:snapToGrid w:val="false"/>
              <w:spacing w:before="60" w:after="60"/>
              <w:jc w:val="left"/>
              <w:rPr>
                <w:rFonts w:ascii="Arial" w:hAnsi="Arial" w:cs="Arial"/>
                <w:sz w:val="18"/>
                <w:szCs w:val="18"/>
              </w:rPr>
            </w:pPr>
            <w:r>
              <w:rPr>
                <w:rFonts w:cs="Arial" w:ascii="Arial" w:hAnsi="Arial"/>
                <w:sz w:val="18"/>
                <w:szCs w:val="18"/>
              </w:rPr>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2000-2001</w:t>
            </w:r>
          </w:p>
        </w:tc>
        <w:tc>
          <w:tcPr>
            <w:tcW w:w="1440" w:type="dxa"/>
            <w:tcBorders>
              <w:left w:val="single" w:sz="2" w:space="0" w:color="000000"/>
              <w:bottom w:val="single" w:sz="12" w:space="0" w:color="000000"/>
            </w:tcBorders>
          </w:tcPr>
          <w:p>
            <w:pPr>
              <w:pStyle w:val="Normal"/>
              <w:tabs>
                <w:tab w:val="clear" w:pos="720"/>
                <w:tab w:val="left" w:pos="1260" w:leader="none"/>
              </w:tabs>
              <w:spacing w:before="60" w:after="60"/>
              <w:jc w:val="center"/>
              <w:rPr>
                <w:rFonts w:ascii="Arial" w:hAnsi="Arial" w:cs="Arial"/>
                <w:b/>
                <w:b/>
                <w:sz w:val="18"/>
                <w:szCs w:val="18"/>
              </w:rPr>
            </w:pPr>
            <w:r>
              <w:rPr>
                <w:rFonts w:cs="Arial" w:ascii="Arial" w:hAnsi="Arial"/>
                <w:b/>
                <w:sz w:val="18"/>
                <w:szCs w:val="18"/>
              </w:rPr>
              <w:t>2001-2002</w:t>
            </w:r>
          </w:p>
        </w:tc>
      </w:tr>
      <w:tr>
        <w:trPr/>
        <w:tc>
          <w:tcPr>
            <w:tcW w:w="3888" w:type="dxa"/>
            <w:tcBorders>
              <w:top w:val="single" w:sz="1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Total number of expulsions</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c>
          <w:tcPr>
            <w:tcW w:w="1440" w:type="dxa"/>
            <w:tcBorders>
              <w:top w:val="single" w:sz="1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4</w:t>
            </w:r>
          </w:p>
        </w:tc>
      </w:tr>
      <w:tr>
        <w:trPr/>
        <w:tc>
          <w:tcPr>
            <w:tcW w:w="3888" w:type="dxa"/>
            <w:tcBorders>
              <w:top w:val="single" w:sz="2" w:space="0" w:color="000000"/>
              <w:bottom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Change (2000-2001 to 2001-2002)</w:t>
            </w:r>
          </w:p>
        </w:tc>
        <w:tc>
          <w:tcPr>
            <w:tcW w:w="1440" w:type="dxa"/>
            <w:tcBorders>
              <w:top w:val="single" w:sz="2" w:space="0" w:color="000000"/>
              <w:bottom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bottom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r>
        <w:trPr/>
        <w:tc>
          <w:tcPr>
            <w:tcW w:w="3888" w:type="dxa"/>
            <w:tcBorders>
              <w:top w:val="single" w:sz="2" w:space="0" w:color="000000"/>
            </w:tcBorders>
            <w:vAlign w:val="center"/>
          </w:tcPr>
          <w:p>
            <w:pPr>
              <w:pStyle w:val="Normal"/>
              <w:tabs>
                <w:tab w:val="clear" w:pos="720"/>
                <w:tab w:val="left" w:pos="1260" w:leader="none"/>
              </w:tabs>
              <w:spacing w:before="60" w:after="60"/>
              <w:jc w:val="left"/>
              <w:rPr>
                <w:rFonts w:ascii="Arial" w:hAnsi="Arial" w:cs="Arial"/>
                <w:b/>
                <w:b/>
                <w:sz w:val="18"/>
                <w:szCs w:val="18"/>
              </w:rPr>
            </w:pPr>
            <w:r>
              <w:rPr>
                <w:rFonts w:cs="Arial" w:ascii="Arial" w:hAnsi="Arial"/>
                <w:b/>
                <w:sz w:val="18"/>
                <w:szCs w:val="18"/>
              </w:rPr>
              <w:t>Percent Change</w:t>
            </w:r>
          </w:p>
        </w:tc>
        <w:tc>
          <w:tcPr>
            <w:tcW w:w="1440" w:type="dxa"/>
            <w:tcBorders>
              <w:top w:val="single" w:sz="2" w:space="0" w:color="000000"/>
            </w:tcBorders>
            <w:vAlign w:val="center"/>
          </w:tcPr>
          <w:p>
            <w:pPr>
              <w:pStyle w:val="Normal"/>
              <w:snapToGrid w:val="false"/>
              <w:spacing w:before="60" w:after="60"/>
              <w:jc w:val="left"/>
              <w:rPr>
                <w:rFonts w:ascii="Arial" w:hAnsi="Arial" w:cs="Arial"/>
                <w:b/>
                <w:b/>
                <w:sz w:val="18"/>
                <w:szCs w:val="18"/>
              </w:rPr>
            </w:pPr>
            <w:r>
              <w:rPr>
                <w:rFonts w:cs="Arial" w:ascii="Arial" w:hAnsi="Arial"/>
                <w:b/>
                <w:sz w:val="18"/>
                <w:szCs w:val="18"/>
              </w:rPr>
            </w:r>
          </w:p>
        </w:tc>
        <w:tc>
          <w:tcPr>
            <w:tcW w:w="1440" w:type="dxa"/>
            <w:tcBorders>
              <w:top w:val="single" w:sz="2" w:space="0" w:color="000000"/>
              <w:left w:val="single" w:sz="2" w:space="0" w:color="000000"/>
            </w:tcBorders>
            <w:vAlign w:val="center"/>
          </w:tcPr>
          <w:p>
            <w:pPr>
              <w:pStyle w:val="Normal"/>
              <w:tabs>
                <w:tab w:val="clear" w:pos="720"/>
                <w:tab w:val="decimal" w:pos="712" w:leader="none"/>
              </w:tabs>
              <w:spacing w:before="60" w:after="60"/>
              <w:jc w:val="left"/>
              <w:rPr>
                <w:rFonts w:ascii="Arial" w:hAnsi="Arial" w:cs="Arial"/>
                <w:sz w:val="18"/>
                <w:szCs w:val="18"/>
              </w:rPr>
            </w:pPr>
            <w:r>
              <w:rPr>
                <w:rFonts w:cs="Arial" w:ascii="Arial" w:hAnsi="Arial"/>
                <w:sz w:val="18"/>
                <w:szCs w:val="18"/>
                <w:lang w:val="en-US" w:eastAsia="en-US"/>
              </w:rPr>
              <w:t>0%</w:t>
            </w:r>
          </w:p>
        </w:tc>
      </w:tr>
    </w:tbl>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tabs>
          <w:tab w:val="clear" w:pos="720"/>
          <w:tab w:val="left" w:pos="1260" w:leader="none"/>
        </w:tabs>
        <w:jc w:val="left"/>
        <w:rPr>
          <w:rFonts w:ascii="Arial" w:hAnsi="Arial" w:cs="Arial"/>
          <w:sz w:val="20"/>
        </w:rPr>
      </w:pPr>
      <w:r>
        <w:rPr>
          <w:rFonts w:cs="Arial" w:ascii="Arial" w:hAnsi="Arial"/>
          <w:sz w:val="20"/>
        </w:rPr>
      </w:r>
    </w:p>
    <w:p>
      <w:pPr>
        <w:pStyle w:val="Normal"/>
        <w:pBdr>
          <w:top w:val="single" w:sz="18" w:space="1" w:color="000000"/>
          <w:bottom w:val="single" w:sz="18" w:space="1" w:color="000000"/>
        </w:pBdr>
        <w:tabs>
          <w:tab w:val="clear" w:pos="720"/>
          <w:tab w:val="left" w:pos="1260" w:leader="none"/>
        </w:tabs>
        <w:jc w:val="left"/>
        <w:rPr>
          <w:rFonts w:ascii="Arial" w:hAnsi="Arial" w:cs="Arial"/>
          <w:b/>
          <w:b/>
          <w:sz w:val="24"/>
          <w:szCs w:val="24"/>
        </w:rPr>
      </w:pPr>
      <w:r>
        <w:rPr>
          <w:rFonts w:cs="Arial" w:ascii="Arial" w:hAnsi="Arial"/>
          <w:b/>
          <w:sz w:val="24"/>
          <w:szCs w:val="24"/>
        </w:rPr>
        <w:t>Caveats or notes on the data collection instrument:</w:t>
      </w:r>
    </w:p>
    <w:p>
      <w:pPr>
        <w:pStyle w:val="Normal"/>
        <w:tabs>
          <w:tab w:val="clear" w:pos="720"/>
          <w:tab w:val="left" w:pos="1260" w:leader="none"/>
        </w:tabs>
        <w:jc w:val="left"/>
        <w:rPr/>
      </w:pPr>
      <w:r>
        <w:rPr>
          <w:rFonts w:cs="Arial" w:ascii="Arial" w:hAnsi="Arial"/>
          <w:sz w:val="20"/>
          <w:lang w:val="en-US" w:eastAsia="en-US"/>
        </w:rPr>
        <w:t>The Virgin Islands is in the process of enacting a Gun-Free Schools Law.</w:t>
      </w:r>
    </w:p>
    <w:p>
      <w:pPr>
        <w:sectPr>
          <w:footerReference w:type="default" r:id="rId8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pStyle w:val="Normal"/>
        <w:tabs>
          <w:tab w:val="clear" w:pos="720"/>
          <w:tab w:val="left" w:pos="1260" w:leader="none"/>
        </w:tabs>
        <w:jc w:val="left"/>
        <w:rPr>
          <w:rFonts w:ascii="Arial" w:hAnsi="Arial" w:cs="Arial"/>
          <w:sz w:val="20"/>
          <w:lang w:val="en-US" w:eastAsia="en-US"/>
        </w:rPr>
      </w:pPr>
      <w:r>
        <w:rPr>
          <w:rFonts w:cs="Arial" w:ascii="Arial" w:hAnsi="Arial"/>
          <w:sz w:val="20"/>
          <w:lang w:val="en-US" w:eastAsia="en-US"/>
        </w:rPr>
      </w:r>
    </w:p>
    <w:p>
      <w:pPr>
        <w:pStyle w:val="PlainText"/>
        <w:jc w:val="center"/>
        <w:rPr>
          <w:rFonts w:ascii="Arial" w:hAnsi="Arial" w:cs="Arial"/>
          <w:sz w:val="20"/>
          <w:lang w:val="en-US" w:eastAsia="en-US"/>
        </w:rPr>
      </w:pPr>
      <w:r>
        <w:rPr>
          <w:rFonts w:cs="Arial" w:ascii="Arial" w:hAnsi="Arial"/>
          <w:sz w:val="20"/>
          <w:lang w:val="en-US" w:eastAsia="en-US"/>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PlainText"/>
        <w:jc w:val="center"/>
        <w:rPr/>
      </w:pPr>
      <w:r>
        <w:rPr/>
      </w:r>
    </w:p>
    <w:p>
      <w:pPr>
        <w:pStyle w:val="Normal"/>
        <w:jc w:val="center"/>
        <w:rPr>
          <w:rFonts w:ascii="Arial" w:hAnsi="Arial" w:cs="Arial"/>
          <w:b/>
          <w:b/>
          <w:sz w:val="36"/>
        </w:rPr>
      </w:pPr>
      <w:r>
        <w:rPr>
          <w:rFonts w:cs="Arial" w:ascii="Arial" w:hAnsi="Arial"/>
          <w:b/>
          <w:sz w:val="36"/>
        </w:rPr>
        <w:t>Appendix A</w:t>
      </w:r>
    </w:p>
    <w:p>
      <w:pPr>
        <w:sectPr>
          <w:footerReference w:type="default" r:id="rId82"/>
          <w:footnotePr>
            <w:numFmt w:val="decimal"/>
          </w:footnotePr>
          <w:type w:val="nextPage"/>
          <w:pgSz w:w="12240" w:h="15840"/>
          <w:pgMar w:left="1440" w:right="1440" w:header="0" w:top="864" w:footer="576" w:bottom="1152" w:gutter="0"/>
          <w:pgNumType w:start="0" w:fmt="decimal"/>
          <w:formProt w:val="false"/>
          <w:textDirection w:val="lrTb"/>
          <w:docGrid w:type="default" w:linePitch="360" w:charSpace="0"/>
        </w:sectPr>
        <w:pStyle w:val="Normal"/>
        <w:jc w:val="center"/>
        <w:rPr>
          <w:rFonts w:ascii="Arial" w:hAnsi="Arial" w:cs="Arial"/>
          <w:b/>
          <w:b/>
          <w:sz w:val="36"/>
        </w:rPr>
      </w:pPr>
      <w:r>
        <w:rPr>
          <w:rFonts w:cs="Arial" w:ascii="Arial" w:hAnsi="Arial"/>
          <w:b/>
          <w:sz w:val="36"/>
        </w:rPr>
      </w:r>
    </w:p>
    <w:p>
      <w:pPr>
        <w:sectPr>
          <w:footerReference w:type="default" r:id="rId83"/>
          <w:footnotePr>
            <w:numFmt w:val="decimal"/>
          </w:footnotePr>
          <w:type w:val="nextPage"/>
          <w:pgSz w:w="12240" w:h="15840"/>
          <w:pgMar w:left="1440" w:right="1440" w:header="0" w:top="864" w:footer="576" w:bottom="1152" w:gutter="0"/>
          <w:pgNumType w:start="0" w:fmt="decimal"/>
          <w:formProt w:val="false"/>
          <w:textDirection w:val="lrTb"/>
          <w:docGrid w:type="default" w:linePitch="360" w:charSpace="0"/>
        </w:sectPr>
        <w:pStyle w:val="Normal"/>
        <w:jc w:val="left"/>
        <w:rPr>
          <w:rFonts w:ascii="Arial" w:hAnsi="Arial" w:cs="Arial"/>
          <w:b/>
          <w:b/>
          <w:sz w:val="36"/>
          <w:szCs w:val="22"/>
        </w:rPr>
      </w:pPr>
      <w:r>
        <w:rPr>
          <w:rFonts w:cs="Arial" w:ascii="Arial" w:hAnsi="Arial"/>
          <w:b/>
          <w:sz w:val="36"/>
          <w:szCs w:val="22"/>
        </w:rPr>
      </w:r>
    </w:p>
    <w:p>
      <w:pPr>
        <w:pStyle w:val="Normal"/>
        <w:jc w:val="center"/>
        <w:rPr>
          <w:rFonts w:ascii="Arial" w:hAnsi="Arial" w:cs="Arial"/>
          <w:b/>
          <w:b/>
          <w:color w:val="FFFFFF"/>
          <w:szCs w:val="22"/>
        </w:rPr>
      </w:pPr>
      <w:r>
        <w:rPr>
          <w:rFonts w:cs="Arial" w:ascii="Arial" w:hAnsi="Arial"/>
          <w:b/>
          <w:color w:val="FFFFFF"/>
          <w:szCs w:val="22"/>
        </w:rPr>
      </w:r>
    </w:p>
    <w:tbl>
      <w:tblPr>
        <w:tblW w:w="9783" w:type="dxa"/>
        <w:jc w:val="left"/>
        <w:tblInd w:w="14" w:type="dxa"/>
        <w:tblCellMar>
          <w:top w:w="0" w:type="dxa"/>
          <w:left w:w="108" w:type="dxa"/>
          <w:bottom w:w="0" w:type="dxa"/>
          <w:right w:w="108" w:type="dxa"/>
        </w:tblCellMar>
      </w:tblPr>
      <w:tblGrid>
        <w:gridCol w:w="8109"/>
        <w:gridCol w:w="1674"/>
      </w:tblGrid>
      <w:tr>
        <w:trPr/>
        <w:tc>
          <w:tcPr>
            <w:tcW w:w="8109" w:type="dxa"/>
            <w:tcBorders>
              <w:top w:val="threeDEmboss" w:sz="18" w:space="0" w:color="000000"/>
              <w:left w:val="threeDEmboss" w:sz="18" w:space="0" w:color="000000"/>
              <w:bottom w:val="threeDEngrave" w:sz="18" w:space="0" w:color="000000"/>
            </w:tcBorders>
          </w:tcPr>
          <w:p>
            <w:pPr>
              <w:pStyle w:val="PlainText"/>
              <w:spacing w:lineRule="auto" w:line="216" w:before="80" w:after="0"/>
              <w:jc w:val="center"/>
              <w:rPr>
                <w:rFonts w:ascii="Times New Roman" w:hAnsi="Times New Roman" w:cs="Times New Roman"/>
                <w:b/>
                <w:b/>
                <w:sz w:val="24"/>
              </w:rPr>
            </w:pPr>
            <w:r>
              <w:rPr>
                <w:rFonts w:cs="Times New Roman" w:ascii="Times New Roman" w:hAnsi="Times New Roman"/>
                <w:b/>
                <w:sz w:val="24"/>
              </w:rPr>
              <w:t>Public Law 103-227 – Oct. 20, 1994</w:t>
            </w:r>
          </w:p>
          <w:p>
            <w:pPr>
              <w:pStyle w:val="PlainText"/>
              <w:spacing w:lineRule="auto" w:line="216"/>
              <w:jc w:val="center"/>
              <w:rPr>
                <w:rFonts w:ascii="Times New Roman" w:hAnsi="Times New Roman" w:cs="Times New Roman"/>
                <w:b/>
                <w:b/>
                <w:sz w:val="24"/>
              </w:rPr>
            </w:pPr>
            <w:r>
              <w:rPr>
                <w:rFonts w:cs="Times New Roman" w:ascii="Times New Roman" w:hAnsi="Times New Roman"/>
                <w:b/>
                <w:sz w:val="24"/>
              </w:rPr>
            </w:r>
          </w:p>
          <w:p>
            <w:pPr>
              <w:pStyle w:val="PlainText"/>
              <w:spacing w:lineRule="auto" w:line="216"/>
              <w:jc w:val="center"/>
              <w:rPr>
                <w:rFonts w:ascii="Times New Roman" w:hAnsi="Times New Roman" w:cs="Times New Roman"/>
                <w:b/>
                <w:b/>
                <w:sz w:val="18"/>
              </w:rPr>
            </w:pPr>
            <w:r>
              <w:rPr>
                <w:rFonts w:cs="Times New Roman" w:ascii="Times New Roman" w:hAnsi="Times New Roman"/>
                <w:b/>
              </w:rPr>
              <w:t>“</w:t>
            </w:r>
            <w:r>
              <w:rPr>
                <w:rFonts w:cs="Times New Roman" w:ascii="Times New Roman" w:hAnsi="Times New Roman"/>
                <w:b/>
              </w:rPr>
              <w:t>PART F – GUN POSSESSION</w:t>
            </w:r>
          </w:p>
          <w:p>
            <w:pPr>
              <w:pStyle w:val="PlainText"/>
              <w:spacing w:lineRule="auto" w:line="216" w:before="60" w:after="60"/>
              <w:jc w:val="center"/>
              <w:rPr>
                <w:rFonts w:ascii="Times New Roman" w:hAnsi="Times New Roman" w:cs="Times New Roman"/>
                <w:b/>
                <w:b/>
                <w:sz w:val="18"/>
              </w:rPr>
            </w:pPr>
            <w:r>
              <w:rPr>
                <w:rFonts w:cs="Times New Roman" w:ascii="Times New Roman" w:hAnsi="Times New Roman"/>
                <w:b/>
                <w:sz w:val="18"/>
              </w:rPr>
            </w:r>
          </w:p>
          <w:p>
            <w:pPr>
              <w:pStyle w:val="PlainText"/>
              <w:spacing w:lineRule="auto" w:line="216" w:before="60" w:after="60"/>
              <w:jc w:val="left"/>
              <w:rPr>
                <w:rFonts w:ascii="Times New Roman" w:hAnsi="Times New Roman" w:cs="Times New Roman"/>
                <w:b/>
                <w:b/>
                <w:sz w:val="18"/>
              </w:rPr>
            </w:pPr>
            <w:r>
              <w:rPr>
                <w:rFonts w:cs="Times New Roman" w:ascii="Times New Roman" w:hAnsi="Times New Roman"/>
                <w:b/>
                <w:sz w:val="18"/>
              </w:rPr>
              <w:t>“</w:t>
            </w:r>
            <w:r>
              <w:rPr>
                <w:rFonts w:cs="Times New Roman" w:ascii="Times New Roman" w:hAnsi="Times New Roman"/>
                <w:b/>
                <w:sz w:val="18"/>
              </w:rPr>
              <w:t>Sec. 14601. GUN-FREE REQUIREMENTS</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(a) </w:t>
            </w:r>
            <w:r>
              <w:rPr>
                <w:rFonts w:cs="Times New Roman" w:ascii="Times New Roman" w:hAnsi="Times New Roman"/>
                <w:smallCaps/>
                <w:sz w:val="18"/>
              </w:rPr>
              <w:t>Short Title.</w:t>
            </w:r>
            <w:r>
              <w:rPr>
                <w:rFonts w:cs="Times New Roman" w:ascii="Times New Roman" w:hAnsi="Times New Roman"/>
                <w:sz w:val="18"/>
              </w:rPr>
              <w:t xml:space="preserve"> – This section may be cited as the ‘Gun-Free Schools Act of 1994’.</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(b) </w:t>
            </w:r>
            <w:r>
              <w:rPr>
                <w:rFonts w:cs="Times New Roman" w:ascii="Times New Roman" w:hAnsi="Times New Roman"/>
                <w:smallCaps/>
                <w:sz w:val="18"/>
              </w:rPr>
              <w:t>Requirements</w:t>
            </w:r>
            <w:r>
              <w:rPr>
                <w:rFonts w:cs="Times New Roman" w:ascii="Times New Roman" w:hAnsi="Times New Roman"/>
                <w:sz w:val="18"/>
              </w:rPr>
              <w:t xml:space="preserve">. – </w:t>
            </w:r>
          </w:p>
          <w:p>
            <w:pPr>
              <w:pStyle w:val="PlainText"/>
              <w:spacing w:lineRule="auto" w:line="216"/>
              <w:ind w:left="720" w:firstLine="720"/>
              <w:jc w:val="left"/>
              <w:rPr/>
            </w:pPr>
            <w:r>
              <w:rPr>
                <w:rFonts w:cs="Times New Roman" w:ascii="Times New Roman" w:hAnsi="Times New Roman"/>
                <w:sz w:val="18"/>
              </w:rPr>
              <w:t>“</w:t>
            </w:r>
            <w:r>
              <w:rPr>
                <w:rFonts w:cs="Times New Roman" w:ascii="Times New Roman" w:hAnsi="Times New Roman"/>
                <w:sz w:val="18"/>
              </w:rPr>
              <w:t xml:space="preserve">(1) </w:t>
            </w:r>
            <w:r>
              <w:rPr>
                <w:rFonts w:cs="Times New Roman" w:ascii="Times New Roman" w:hAnsi="Times New Roman"/>
                <w:smallCaps/>
                <w:sz w:val="18"/>
              </w:rPr>
              <w:t>In General</w:t>
            </w:r>
            <w:r>
              <w:rPr>
                <w:rFonts w:cs="Times New Roman" w:ascii="Times New Roman" w:hAnsi="Times New Roman"/>
                <w:sz w:val="18"/>
              </w:rPr>
              <w:t>. – Except as provided in paragraph (3), each State receiving Federal funds under this Act shall have in effect a State law requiring local educational agencies to expel from school for a period of not less than one year a student who is determined to have brought a weapon to a school under the jurisdiction of local educational agencies in that State, except that such State law shall allow the chief administering officer of such local educational agency to modify such expulsion requirement for a student on a case-by-case basis.</w:t>
            </w:r>
          </w:p>
          <w:p>
            <w:pPr>
              <w:pStyle w:val="PlainText"/>
              <w:spacing w:lineRule="auto" w:line="216"/>
              <w:ind w:left="720" w:firstLine="720"/>
              <w:jc w:val="left"/>
              <w:rPr/>
            </w:pPr>
            <w:r>
              <w:rPr>
                <w:rFonts w:cs="Times New Roman" w:ascii="Times New Roman" w:hAnsi="Times New Roman"/>
                <w:sz w:val="18"/>
              </w:rPr>
              <w:t>“</w:t>
            </w:r>
            <w:r>
              <w:rPr>
                <w:rFonts w:cs="Times New Roman" w:ascii="Times New Roman" w:hAnsi="Times New Roman"/>
                <w:sz w:val="18"/>
              </w:rPr>
              <w:t xml:space="preserve">(2) </w:t>
            </w:r>
            <w:r>
              <w:rPr>
                <w:rFonts w:cs="Times New Roman" w:ascii="Times New Roman" w:hAnsi="Times New Roman"/>
                <w:smallCaps/>
                <w:sz w:val="18"/>
              </w:rPr>
              <w:t>Construction</w:t>
            </w:r>
            <w:r>
              <w:rPr>
                <w:rFonts w:cs="Times New Roman" w:ascii="Times New Roman" w:hAnsi="Times New Roman"/>
                <w:sz w:val="18"/>
              </w:rPr>
              <w:t>. – Nothing in this title shall be construed to prevent a State from allowing a local educational agency that has expelled a student from such a student’s regular school setting from providing educational services to such student in an alternative setting.</w:t>
            </w:r>
          </w:p>
          <w:p>
            <w:pPr>
              <w:pStyle w:val="PlainText"/>
              <w:spacing w:lineRule="auto" w:line="216"/>
              <w:ind w:left="720" w:firstLine="720"/>
              <w:jc w:val="left"/>
              <w:rPr/>
            </w:pPr>
            <w:r>
              <w:rPr>
                <w:rFonts w:cs="Times New Roman" w:ascii="Times New Roman" w:hAnsi="Times New Roman"/>
                <w:sz w:val="18"/>
              </w:rPr>
              <w:t>“</w:t>
            </w:r>
            <w:r>
              <w:rPr>
                <w:rFonts w:cs="Times New Roman" w:ascii="Times New Roman" w:hAnsi="Times New Roman"/>
                <w:sz w:val="18"/>
              </w:rPr>
              <w:t xml:space="preserve">(3) </w:t>
            </w:r>
            <w:r>
              <w:rPr>
                <w:rFonts w:cs="Times New Roman" w:ascii="Times New Roman" w:hAnsi="Times New Roman"/>
                <w:smallCaps/>
                <w:sz w:val="18"/>
              </w:rPr>
              <w:t>Special Rule.</w:t>
            </w:r>
            <w:r>
              <w:rPr>
                <w:rFonts w:cs="Times New Roman" w:ascii="Times New Roman" w:hAnsi="Times New Roman"/>
                <w:sz w:val="18"/>
              </w:rPr>
              <w:t xml:space="preserve"> – (A) Any State that has a law in effect prior to the date of enactment of the Improving America’s Schools Act of 1994 which is in conflict with the not less than one year expulsion requirement described in paragraph (1) shall have the period of time described in subparagraph (B) to comply with such requirement.</w:t>
            </w:r>
          </w:p>
          <w:p>
            <w:pPr>
              <w:pStyle w:val="PlainText"/>
              <w:spacing w:lineRule="auto" w:line="216"/>
              <w:ind w:left="72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(B) The period of time shall be the period beginning on the date of enactment of the Improving America’s Schools Act and ending one year after such date.</w:t>
            </w:r>
          </w:p>
          <w:p>
            <w:pPr>
              <w:pStyle w:val="PlainText"/>
              <w:spacing w:lineRule="auto" w:line="216"/>
              <w:ind w:left="720" w:firstLine="720"/>
              <w:jc w:val="left"/>
              <w:rPr/>
            </w:pPr>
            <w:r>
              <w:rPr>
                <w:rFonts w:cs="Times New Roman" w:ascii="Times New Roman" w:hAnsi="Times New Roman"/>
                <w:sz w:val="18"/>
              </w:rPr>
              <w:t>“</w:t>
            </w:r>
            <w:r>
              <w:rPr>
                <w:rFonts w:cs="Times New Roman" w:ascii="Times New Roman" w:hAnsi="Times New Roman"/>
                <w:sz w:val="18"/>
              </w:rPr>
              <w:t xml:space="preserve">(4) </w:t>
            </w:r>
            <w:r>
              <w:rPr>
                <w:rFonts w:cs="Times New Roman" w:ascii="Times New Roman" w:hAnsi="Times New Roman"/>
                <w:smallCaps/>
                <w:sz w:val="18"/>
              </w:rPr>
              <w:t>Definition</w:t>
            </w:r>
            <w:r>
              <w:rPr>
                <w:rFonts w:cs="Times New Roman" w:ascii="Times New Roman" w:hAnsi="Times New Roman"/>
                <w:sz w:val="18"/>
              </w:rPr>
              <w:t>. – For the purpose of this section, the term ‘weapon’ means a firearm as such term is defined in section 921 of title 18, United States Code.</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(c) </w:t>
            </w:r>
            <w:r>
              <w:rPr>
                <w:rFonts w:cs="Times New Roman" w:ascii="Times New Roman" w:hAnsi="Times New Roman"/>
                <w:smallCaps/>
                <w:sz w:val="18"/>
              </w:rPr>
              <w:t>Special Rule</w:t>
            </w:r>
            <w:r>
              <w:rPr>
                <w:rFonts w:cs="Times New Roman" w:ascii="Times New Roman" w:hAnsi="Times New Roman"/>
                <w:sz w:val="18"/>
              </w:rPr>
              <w:t>. – The provisions of this section shall be construed in a manner consistent with the Individuals with Disabilities Education Act.</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(d) </w:t>
            </w:r>
            <w:r>
              <w:rPr>
                <w:rFonts w:cs="Times New Roman" w:ascii="Times New Roman" w:hAnsi="Times New Roman"/>
                <w:smallCaps/>
                <w:sz w:val="18"/>
              </w:rPr>
              <w:t>Report to State.</w:t>
            </w:r>
            <w:r>
              <w:rPr>
                <w:rFonts w:cs="Times New Roman" w:ascii="Times New Roman" w:hAnsi="Times New Roman"/>
                <w:sz w:val="18"/>
              </w:rPr>
              <w:t xml:space="preserve"> – Each local educational agency requesting assistance from the State educational agency that is to be provided from funds made available to the State under this Act shall provide to the States, in the application requesting such assistance –</w:t>
            </w:r>
          </w:p>
          <w:p>
            <w:pPr>
              <w:pStyle w:val="PlainText"/>
              <w:spacing w:lineRule="auto" w:line="216"/>
              <w:ind w:left="72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(1) an assurance that such local educational agency is in compliance with the State law required by subsection (b); and</w:t>
            </w:r>
          </w:p>
          <w:p>
            <w:pPr>
              <w:pStyle w:val="PlainText"/>
              <w:spacing w:lineRule="auto" w:line="216"/>
              <w:ind w:left="72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(2) a description of the circumstances surrounding any expulsions imposed under the State law required by subsection (b), including –</w:t>
            </w:r>
          </w:p>
          <w:p>
            <w:pPr>
              <w:pStyle w:val="PlainText"/>
              <w:spacing w:lineRule="auto" w:line="216"/>
              <w:ind w:left="144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(A) the name of the school concerned;</w:t>
            </w:r>
          </w:p>
          <w:p>
            <w:pPr>
              <w:pStyle w:val="PlainText"/>
              <w:spacing w:lineRule="auto" w:line="216"/>
              <w:ind w:left="144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(B) the number of students expelled form such school; and</w:t>
            </w:r>
          </w:p>
          <w:p>
            <w:pPr>
              <w:pStyle w:val="PlainText"/>
              <w:spacing w:lineRule="auto" w:line="216"/>
              <w:ind w:left="144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(C) the type of weapons concerned.</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(e) </w:t>
            </w:r>
            <w:r>
              <w:rPr>
                <w:rFonts w:cs="Times New Roman" w:ascii="Times New Roman" w:hAnsi="Times New Roman"/>
                <w:smallCaps/>
                <w:sz w:val="18"/>
              </w:rPr>
              <w:t>Reporting</w:t>
            </w:r>
            <w:r>
              <w:rPr>
                <w:rFonts w:cs="Times New Roman" w:ascii="Times New Roman" w:hAnsi="Times New Roman"/>
                <w:sz w:val="18"/>
              </w:rPr>
              <w:t>. – Each State shall report the information described in subsection (c) to the Secretary on an annual basis.</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(f) </w:t>
            </w:r>
            <w:r>
              <w:rPr>
                <w:rFonts w:cs="Times New Roman" w:ascii="Times New Roman" w:hAnsi="Times New Roman"/>
                <w:smallCaps/>
                <w:sz w:val="18"/>
              </w:rPr>
              <w:t>Report</w:t>
            </w:r>
            <w:r>
              <w:rPr>
                <w:rFonts w:cs="Times New Roman" w:ascii="Times New Roman" w:hAnsi="Times New Roman"/>
                <w:sz w:val="18"/>
              </w:rPr>
              <w:t xml:space="preserve"> </w:t>
            </w:r>
            <w:r>
              <w:rPr>
                <w:rFonts w:cs="Times New Roman" w:ascii="Times New Roman" w:hAnsi="Times New Roman"/>
                <w:smallCaps/>
                <w:sz w:val="18"/>
              </w:rPr>
              <w:t>to</w:t>
            </w:r>
            <w:r>
              <w:rPr>
                <w:rFonts w:cs="Times New Roman" w:ascii="Times New Roman" w:hAnsi="Times New Roman"/>
                <w:sz w:val="18"/>
              </w:rPr>
              <w:t xml:space="preserve"> </w:t>
            </w:r>
            <w:r>
              <w:rPr>
                <w:rFonts w:cs="Times New Roman" w:ascii="Times New Roman" w:hAnsi="Times New Roman"/>
                <w:smallCaps/>
                <w:sz w:val="18"/>
              </w:rPr>
              <w:t>Congress</w:t>
            </w:r>
            <w:r>
              <w:rPr>
                <w:rFonts w:cs="Times New Roman" w:ascii="Times New Roman" w:hAnsi="Times New Roman"/>
                <w:sz w:val="18"/>
              </w:rPr>
              <w:t>. – Two years after the date of enactment of the Improving America’s Schools Act of 1994, the Secretary shall report to Congress if any State is not in compliance with the requirements of this title.</w:t>
            </w:r>
          </w:p>
          <w:p>
            <w:pPr>
              <w:pStyle w:val="PlainText"/>
              <w:spacing w:lineRule="auto" w:line="216" w:before="60" w:after="60"/>
              <w:jc w:val="left"/>
              <w:rPr>
                <w:rFonts w:ascii="Times New Roman" w:hAnsi="Times New Roman" w:cs="Times New Roman"/>
                <w:b/>
                <w:b/>
                <w:sz w:val="18"/>
              </w:rPr>
            </w:pPr>
            <w:r>
              <w:rPr>
                <w:rFonts w:cs="Times New Roman" w:ascii="Times New Roman" w:hAnsi="Times New Roman"/>
                <w:b/>
                <w:sz w:val="18"/>
              </w:rPr>
              <w:t>“</w:t>
            </w:r>
            <w:r>
              <w:rPr>
                <w:rFonts w:cs="Times New Roman" w:ascii="Times New Roman" w:hAnsi="Times New Roman"/>
                <w:b/>
                <w:sz w:val="18"/>
              </w:rPr>
              <w:t>SEC. 14602. POLICY REGARDING CRIMINAL JUSTICE SYSTEM REFERRAL.</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(a) </w:t>
            </w:r>
            <w:r>
              <w:rPr>
                <w:rFonts w:cs="Times New Roman" w:ascii="Times New Roman" w:hAnsi="Times New Roman"/>
                <w:smallCaps/>
                <w:sz w:val="18"/>
              </w:rPr>
              <w:t>In</w:t>
            </w:r>
            <w:r>
              <w:rPr>
                <w:rFonts w:cs="Times New Roman" w:ascii="Times New Roman" w:hAnsi="Times New Roman"/>
                <w:sz w:val="18"/>
              </w:rPr>
              <w:t xml:space="preserve"> </w:t>
            </w:r>
            <w:r>
              <w:rPr>
                <w:rFonts w:cs="Times New Roman" w:ascii="Times New Roman" w:hAnsi="Times New Roman"/>
                <w:smallCaps/>
                <w:sz w:val="18"/>
              </w:rPr>
              <w:t>General</w:t>
            </w:r>
            <w:r>
              <w:rPr>
                <w:rFonts w:cs="Times New Roman" w:ascii="Times New Roman" w:hAnsi="Times New Roman"/>
                <w:sz w:val="18"/>
              </w:rPr>
              <w:t>. – No funds shall be made available under this Act to any local educational agency unless such agency has a policy requiring referral to the criminal justice or juvenile delinquency system of any student who brings a firearm or weapon to school served by such agency.</w:t>
            </w:r>
          </w:p>
          <w:p>
            <w:pPr>
              <w:pStyle w:val="PlainText"/>
              <w:spacing w:lineRule="auto" w:line="216"/>
              <w:ind w:firstLine="720"/>
              <w:jc w:val="left"/>
              <w:rPr/>
            </w:pPr>
            <w:r>
              <w:rPr>
                <w:rFonts w:cs="Times New Roman" w:ascii="Times New Roman" w:hAnsi="Times New Roman"/>
                <w:sz w:val="18"/>
              </w:rPr>
              <w:t>“</w:t>
            </w:r>
            <w:r>
              <w:rPr>
                <w:rFonts w:cs="Times New Roman" w:ascii="Times New Roman" w:hAnsi="Times New Roman"/>
                <w:sz w:val="18"/>
              </w:rPr>
              <w:t xml:space="preserve">(b) </w:t>
            </w:r>
            <w:r>
              <w:rPr>
                <w:rFonts w:cs="Times New Roman" w:ascii="Times New Roman" w:hAnsi="Times New Roman"/>
                <w:smallCaps/>
                <w:sz w:val="18"/>
              </w:rPr>
              <w:t>Definitions</w:t>
            </w:r>
            <w:r>
              <w:rPr>
                <w:rFonts w:cs="Times New Roman" w:ascii="Times New Roman" w:hAnsi="Times New Roman"/>
                <w:sz w:val="18"/>
              </w:rPr>
              <w:t>. – For the purpose of this section, the terms ‘firearm’ and ‘school’ have the same meaning given to such terms by section 921(a) of title 18, United States Code.</w:t>
            </w:r>
          </w:p>
          <w:p>
            <w:pPr>
              <w:pStyle w:val="PlainText"/>
              <w:spacing w:lineRule="auto" w:line="216" w:before="60" w:after="60"/>
              <w:jc w:val="left"/>
              <w:rPr>
                <w:rFonts w:ascii="Times New Roman" w:hAnsi="Times New Roman" w:cs="Times New Roman"/>
                <w:b/>
                <w:b/>
                <w:sz w:val="18"/>
              </w:rPr>
            </w:pPr>
            <w:r>
              <w:rPr>
                <w:rFonts w:cs="Times New Roman" w:ascii="Times New Roman" w:hAnsi="Times New Roman"/>
                <w:b/>
                <w:sz w:val="18"/>
              </w:rPr>
              <w:t>“</w:t>
            </w:r>
            <w:r>
              <w:rPr>
                <w:rFonts w:cs="Times New Roman" w:ascii="Times New Roman" w:hAnsi="Times New Roman"/>
                <w:b/>
                <w:sz w:val="18"/>
              </w:rPr>
              <w:t>SEC. 14603. DATA AND POLICY DISSEMINATION UNDER IDEA</w:t>
            </w:r>
          </w:p>
          <w:p>
            <w:pPr>
              <w:pStyle w:val="PlainText"/>
              <w:spacing w:lineRule="auto" w:line="216"/>
              <w:ind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 xml:space="preserve">The Secretary shall – </w:t>
            </w:r>
          </w:p>
          <w:p>
            <w:pPr>
              <w:pStyle w:val="PlainText"/>
              <w:spacing w:lineRule="auto" w:line="216"/>
              <w:ind w:left="72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(1) widely disseminate the policy of the Department in effect on the date of enactment of the Improving America’s Schools Act of 1994 with respect to disciplining children with disabilities;</w:t>
            </w:r>
          </w:p>
          <w:p>
            <w:pPr>
              <w:pStyle w:val="PlainText"/>
              <w:spacing w:lineRule="auto" w:line="216"/>
              <w:ind w:left="720" w:firstLine="720"/>
              <w:jc w:val="left"/>
              <w:rPr>
                <w:rFonts w:ascii="Times New Roman" w:hAnsi="Times New Roman" w:cs="Times New Roman"/>
                <w:sz w:val="18"/>
              </w:rPr>
            </w:pPr>
            <w:r>
              <w:rPr>
                <w:rFonts w:cs="Times New Roman" w:ascii="Times New Roman" w:hAnsi="Times New Roman"/>
                <w:sz w:val="18"/>
              </w:rPr>
              <w:t>“</w:t>
            </w:r>
            <w:r>
              <w:rPr>
                <w:rFonts w:cs="Times New Roman" w:ascii="Times New Roman" w:hAnsi="Times New Roman"/>
                <w:sz w:val="18"/>
              </w:rPr>
              <w:t>(2) collect data on the incidence of children with disabilities (as such term is defined in section 602(a)(1) of the Individuals With Disabilities Education Act) engaging in life threatening behavior or bringing weapons to schools; and</w:t>
            </w:r>
          </w:p>
          <w:p>
            <w:pPr>
              <w:pStyle w:val="PlainText"/>
              <w:spacing w:lineRule="auto" w:line="216" w:before="0" w:after="80"/>
              <w:ind w:left="720" w:firstLine="720"/>
              <w:jc w:val="left"/>
              <w:rPr>
                <w:rFonts w:ascii="Times New Roman" w:hAnsi="Times New Roman" w:cs="Times New Roman"/>
                <w:sz w:val="22"/>
              </w:rPr>
            </w:pPr>
            <w:r>
              <w:rPr>
                <w:rFonts w:cs="Times New Roman" w:ascii="Times New Roman" w:hAnsi="Times New Roman"/>
                <w:sz w:val="18"/>
              </w:rPr>
              <w:t>“</w:t>
            </w:r>
            <w:r>
              <w:rPr>
                <w:rFonts w:cs="Times New Roman" w:ascii="Times New Roman" w:hAnsi="Times New Roman"/>
                <w:sz w:val="18"/>
              </w:rPr>
              <w:t>(3) submit a report to Congress not later than January 31, 1995, analyzing the strengths and problems with the current approaches regarding disciplining children with disabilities.</w:t>
            </w:r>
          </w:p>
        </w:tc>
        <w:tc>
          <w:tcPr>
            <w:tcW w:w="1674" w:type="dxa"/>
            <w:tcBorders>
              <w:top w:val="threeDEmboss" w:sz="18" w:space="0" w:color="000000"/>
              <w:bottom w:val="threeDEngrave" w:sz="18" w:space="0" w:color="000000"/>
              <w:right w:val="threeDEngrave" w:sz="18" w:space="0" w:color="000000"/>
            </w:tcBorders>
          </w:tcPr>
          <w:p>
            <w:pPr>
              <w:pStyle w:val="PlainText"/>
              <w:spacing w:before="80" w:after="0"/>
              <w:jc w:val="center"/>
              <w:rPr>
                <w:rFonts w:ascii="Times New Roman" w:hAnsi="Times New Roman" w:cs="Times New Roman"/>
              </w:rPr>
            </w:pPr>
            <w:r>
              <w:rPr>
                <w:rFonts w:cs="Times New Roman" w:ascii="Times New Roman" w:hAnsi="Times New Roman"/>
              </w:rPr>
              <w:t>108 STAT. 3907</w:t>
            </w:r>
          </w:p>
          <w:p>
            <w:pPr>
              <w:pStyle w:val="PlainText"/>
              <w:jc w:val="center"/>
              <w:rPr>
                <w:rFonts w:ascii="Times New Roman" w:hAnsi="Times New Roman" w:cs="Times New Roman"/>
                <w:sz w:val="22"/>
              </w:rPr>
            </w:pPr>
            <w:r>
              <w:rPr>
                <w:rFonts w:cs="Times New Roman" w:ascii="Times New Roman" w:hAnsi="Times New Roman"/>
                <w:sz w:val="22"/>
              </w:rPr>
            </w:r>
          </w:p>
          <w:p>
            <w:pPr>
              <w:pStyle w:val="PlainText"/>
              <w:jc w:val="center"/>
              <w:rPr>
                <w:rFonts w:ascii="Times New Roman" w:hAnsi="Times New Roman" w:cs="Times New Roman"/>
                <w:sz w:val="22"/>
              </w:rPr>
            </w:pPr>
            <w:r>
              <w:rPr>
                <w:rFonts w:cs="Times New Roman" w:ascii="Times New Roman" w:hAnsi="Times New Roman"/>
                <w:sz w:val="22"/>
              </w:rPr>
            </w:r>
          </w:p>
          <w:p>
            <w:pPr>
              <w:pStyle w:val="PlainText"/>
              <w:jc w:val="left"/>
              <w:rPr>
                <w:rFonts w:ascii="Times New Roman" w:hAnsi="Times New Roman" w:cs="Times New Roman"/>
                <w:sz w:val="16"/>
              </w:rPr>
            </w:pPr>
            <w:r>
              <w:rPr>
                <w:rFonts w:cs="Times New Roman" w:ascii="Times New Roman" w:hAnsi="Times New Roman"/>
                <w:sz w:val="16"/>
              </w:rPr>
              <w:t>Gun-Free Schools Act of 1994</w:t>
            </w:r>
          </w:p>
          <w:p>
            <w:pPr>
              <w:pStyle w:val="PlainText"/>
              <w:jc w:val="left"/>
              <w:rPr>
                <w:rFonts w:ascii="Times New Roman" w:hAnsi="Times New Roman" w:cs="Times New Roman"/>
                <w:sz w:val="22"/>
              </w:rPr>
            </w:pPr>
            <w:r>
              <w:rPr>
                <w:rFonts w:cs="Times New Roman" w:ascii="Times New Roman" w:hAnsi="Times New Roman"/>
                <w:sz w:val="16"/>
              </w:rPr>
              <w:t>20 USC 8921.</w:t>
            </w:r>
          </w:p>
        </w:tc>
      </w:tr>
    </w:tbl>
    <w:p>
      <w:pPr>
        <w:sectPr>
          <w:footerReference w:type="default" r:id="rId84"/>
          <w:footnotePr>
            <w:numFmt w:val="decimal"/>
          </w:footnotePr>
          <w:type w:val="nextPage"/>
          <w:pgSz w:w="12240" w:h="15840"/>
          <w:pgMar w:left="1440" w:right="1440" w:header="0" w:top="864" w:footer="576" w:bottom="1152" w:gutter="0"/>
          <w:pgNumType w:start="0" w:fmt="decimal"/>
          <w:formProt w:val="false"/>
          <w:textDirection w:val="lrTb"/>
          <w:docGrid w:type="default" w:linePitch="360" w:charSpace="0"/>
        </w:sectPr>
        <w:pStyle w:val="PlainText"/>
        <w:jc w:val="center"/>
        <w:rPr>
          <w:rFonts w:ascii="Arial" w:hAnsi="Arial" w:cs="Arial"/>
          <w:b/>
          <w:b/>
          <w:sz w:val="32"/>
        </w:rPr>
      </w:pPr>
      <w:r>
        <w:rPr>
          <w:rFonts w:cs="Arial" w:ascii="Arial" w:hAnsi="Arial"/>
          <w:b/>
          <w:sz w:val="32"/>
        </w:rPr>
      </w:r>
    </w:p>
    <w:p>
      <w:pPr>
        <w:sectPr>
          <w:footerReference w:type="default" r:id="rId85"/>
          <w:footnotePr>
            <w:numFmt w:val="decimal"/>
          </w:footnotePr>
          <w:type w:val="nextPage"/>
          <w:pgSz w:w="12240" w:h="15840"/>
          <w:pgMar w:left="1440" w:right="1440" w:header="0" w:top="864" w:footer="576" w:bottom="1152" w:gutter="0"/>
          <w:pgNumType w:start="0" w:fmt="decimal"/>
          <w:formProt w:val="false"/>
          <w:textDirection w:val="lrTb"/>
          <w:docGrid w:type="default" w:linePitch="360" w:charSpace="0"/>
        </w:sectPr>
        <w:pStyle w:val="Normal"/>
        <w:rPr>
          <w:rFonts w:ascii="Arial" w:hAnsi="Arial" w:cs="Arial"/>
          <w:b/>
          <w:b/>
          <w:sz w:val="32"/>
        </w:rPr>
      </w:pPr>
      <w:r>
        <w:rPr>
          <w:rFonts w:cs="Arial" w:ascii="Arial" w:hAnsi="Arial"/>
          <w:b/>
          <w:sz w:val="32"/>
        </w:rPr>
      </w:r>
    </w:p>
    <w:p>
      <w:pPr>
        <w:pStyle w:val="Normal"/>
        <w:jc w:val="left"/>
        <w:rPr/>
      </w:pPr>
      <w:r>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pStyle w:val="Normal"/>
        <w:jc w:val="center"/>
        <w:rPr>
          <w:sz w:val="20"/>
        </w:rPr>
      </w:pPr>
      <w:r>
        <w:rPr>
          <w:sz w:val="20"/>
        </w:rPr>
      </w:r>
    </w:p>
    <w:p>
      <w:pPr>
        <w:sectPr>
          <w:footerReference w:type="default" r:id="rId86"/>
          <w:footerReference w:type="first" r:id="rId87"/>
          <w:footnotePr>
            <w:numFmt w:val="decimal"/>
          </w:footnotePr>
          <w:type w:val="oddPage"/>
          <w:pgSz w:w="12240" w:h="15840"/>
          <w:pgMar w:left="1440" w:right="1440" w:header="0" w:top="864" w:footer="576" w:bottom="1152" w:gutter="0"/>
          <w:pgNumType w:start="0" w:fmt="decimal"/>
          <w:formProt w:val="false"/>
          <w:titlePg/>
          <w:textDirection w:val="lrTb"/>
          <w:docGrid w:type="default" w:linePitch="360" w:charSpace="0"/>
        </w:sectPr>
        <w:pStyle w:val="Normal"/>
        <w:jc w:val="center"/>
        <w:rPr>
          <w:rFonts w:ascii="Arial" w:hAnsi="Arial" w:cs="Arial"/>
          <w:b/>
          <w:b/>
          <w:sz w:val="36"/>
        </w:rPr>
      </w:pPr>
      <w:r>
        <w:rPr>
          <w:rFonts w:cs="Arial" w:ascii="Arial" w:hAnsi="Arial"/>
          <w:b/>
          <w:sz w:val="36"/>
        </w:rPr>
        <w:t>Appendix B</w:t>
      </w:r>
    </w:p>
    <w:p>
      <w:pPr>
        <w:sectPr>
          <w:footerReference w:type="default" r:id="rId88"/>
          <w:footnotePr>
            <w:numFmt w:val="decimal"/>
          </w:footnotePr>
          <w:type w:val="nextPage"/>
          <w:pgSz w:w="12240" w:h="15840"/>
          <w:pgMar w:left="1440" w:right="1440" w:header="0" w:top="864" w:footer="576" w:bottom="1152" w:gutter="0"/>
          <w:pgNumType w:start="0" w:fmt="decimal"/>
          <w:formProt w:val="false"/>
          <w:textDirection w:val="lrTb"/>
          <w:docGrid w:type="default" w:linePitch="360" w:charSpace="0"/>
        </w:sectPr>
        <w:pStyle w:val="Normal"/>
        <w:numPr>
          <w:ilvl w:val="0"/>
          <w:numId w:val="0"/>
        </w:numPr>
        <w:rPr>
          <w:rFonts w:ascii="Arial" w:hAnsi="Arial" w:cs="Arial"/>
          <w:b/>
          <w:b/>
          <w:sz w:val="36"/>
        </w:rPr>
      </w:pPr>
      <w:r>
        <w:rPr>
          <w:rFonts w:cs="Arial" w:ascii="Arial" w:hAnsi="Arial"/>
          <w:b/>
          <w:sz w:val="36"/>
        </w:rPr>
      </w:r>
    </w:p>
    <w:p>
      <w:pPr>
        <w:pStyle w:val="Normal"/>
        <w:jc w:val="left"/>
        <w:rPr>
          <w:rFonts w:ascii="Arial" w:hAnsi="Arial" w:cs="Arial"/>
          <w:b/>
          <w:b/>
          <w:sz w:val="36"/>
        </w:rPr>
      </w:pPr>
      <w:r>
        <w:rPr>
          <w:rFonts w:cs="Arial" w:ascii="Arial" w:hAnsi="Arial"/>
          <w:b/>
          <w:sz w:val="36"/>
        </w:rPr>
      </w:r>
    </w:p>
    <w:tbl>
      <w:tblPr>
        <w:tblW w:w="9937" w:type="dxa"/>
        <w:jc w:val="left"/>
        <w:tblInd w:w="-464" w:type="dxa"/>
        <w:tblCellMar>
          <w:top w:w="0" w:type="dxa"/>
          <w:left w:w="0" w:type="dxa"/>
          <w:bottom w:w="0" w:type="dxa"/>
          <w:right w:w="0" w:type="dxa"/>
        </w:tblCellMar>
      </w:tblPr>
      <w:tblGrid>
        <w:gridCol w:w="351"/>
        <w:gridCol w:w="6228"/>
        <w:gridCol w:w="3006"/>
        <w:gridCol w:w="10"/>
        <w:gridCol w:w="332"/>
        <w:gridCol w:w="10"/>
      </w:tblGrid>
      <w:tr>
        <w:trPr/>
        <w:tc>
          <w:tcPr>
            <w:tcW w:w="351" w:type="dxa"/>
            <w:tcBorders/>
          </w:tcPr>
          <w:p>
            <w:pPr>
              <w:pStyle w:val="TableHeading"/>
              <w:rPr/>
            </w:pPr>
            <w:r>
              <w:rPr/>
            </w:r>
          </w:p>
        </w:tc>
        <w:tc>
          <w:tcPr>
            <w:tcW w:w="6228" w:type="dxa"/>
            <w:tcBorders>
              <w:top w:val="thickThinSmallGap" w:sz="24" w:space="0" w:color="000000"/>
              <w:bottom w:val="thinThickSmallGap" w:sz="24" w:space="0" w:color="000000"/>
            </w:tcBorders>
            <w:tcMar>
              <w:left w:w="108" w:type="dxa"/>
              <w:right w:w="108" w:type="dxa"/>
            </w:tcMar>
          </w:tcPr>
          <w:p>
            <w:pPr>
              <w:pStyle w:val="TextBody"/>
              <w:spacing w:before="60" w:after="0"/>
              <w:rPr/>
            </w:pPr>
            <w:r>
              <w:rPr/>
              <w:t xml:space="preserve">ELEMENTARY AND SECONDARY EDUCATION ACT (ESEA), TITLE XIV, PART F, as amended by the IMPROVING AMERICA’S SCHOOLS ACT OF 1994 (IASA) </w:t>
            </w:r>
          </w:p>
          <w:p>
            <w:pPr>
              <w:pStyle w:val="Normal"/>
              <w:jc w:val="left"/>
              <w:rPr>
                <w:rFonts w:ascii="Arial" w:hAnsi="Arial" w:cs="Arial"/>
                <w:b/>
                <w:b/>
                <w:sz w:val="28"/>
              </w:rPr>
            </w:pPr>
            <w:r>
              <w:rPr>
                <w:rFonts w:cs="Arial" w:ascii="Arial" w:hAnsi="Arial"/>
                <w:b/>
                <w:sz w:val="28"/>
              </w:rPr>
            </w:r>
          </w:p>
          <w:p>
            <w:pPr>
              <w:pStyle w:val="Heading9"/>
              <w:rPr>
                <w:b w:val="false"/>
                <w:b w:val="false"/>
              </w:rPr>
            </w:pPr>
            <w:r>
              <w:rPr/>
              <w:t>GUN-FREE SCHOOLS ACT REPORT</w:t>
            </w:r>
          </w:p>
        </w:tc>
        <w:tc>
          <w:tcPr>
            <w:tcW w:w="3348" w:type="dxa"/>
            <w:gridSpan w:val="3"/>
            <w:tcBorders>
              <w:top w:val="thickThinSmallGap" w:sz="24" w:space="0" w:color="000000"/>
              <w:bottom w:val="thinThickSmallGap" w:sz="24" w:space="0" w:color="000000"/>
            </w:tcBorders>
            <w:tcMar>
              <w:left w:w="108" w:type="dxa"/>
              <w:right w:w="108" w:type="dxa"/>
            </w:tcMar>
          </w:tcPr>
          <w:p>
            <w:pPr>
              <w:pStyle w:val="Normal"/>
              <w:snapToGrid w:val="false"/>
              <w:spacing w:before="60" w:after="0"/>
              <w:jc w:val="right"/>
              <w:rPr>
                <w:rFonts w:ascii="Arial" w:hAnsi="Arial" w:cs="Arial"/>
                <w:b w:val="false"/>
                <w:b w:val="false"/>
                <w:sz w:val="24"/>
              </w:rPr>
            </w:pPr>
            <w:r>
              <w:rPr>
                <w:rFonts w:cs="Arial" w:ascii="Arial" w:hAnsi="Arial"/>
                <w:b w:val="false"/>
                <w:sz w:val="24"/>
              </w:rPr>
            </w:r>
          </w:p>
          <w:p>
            <w:pPr>
              <w:pStyle w:val="Normal"/>
              <w:spacing w:before="60" w:after="0"/>
              <w:jc w:val="right"/>
              <w:rPr>
                <w:rFonts w:ascii="Arial" w:hAnsi="Arial" w:cs="Arial"/>
                <w:sz w:val="24"/>
              </w:rPr>
            </w:pPr>
            <w:r>
              <w:rPr>
                <w:rFonts w:cs="Arial" w:ascii="Arial" w:hAnsi="Arial"/>
                <w:sz w:val="24"/>
              </w:rPr>
              <w:t>FORM APPROVED</w:t>
            </w:r>
          </w:p>
          <w:p>
            <w:pPr>
              <w:pStyle w:val="Normal"/>
              <w:jc w:val="right"/>
              <w:rPr>
                <w:rFonts w:ascii="Arial" w:hAnsi="Arial" w:cs="Arial"/>
                <w:sz w:val="24"/>
              </w:rPr>
            </w:pPr>
            <w:r>
              <w:rPr>
                <w:rFonts w:cs="Arial" w:ascii="Arial" w:hAnsi="Arial"/>
                <w:sz w:val="24"/>
              </w:rPr>
              <w:t>OMB #: 1810-0602</w:t>
            </w:r>
          </w:p>
          <w:p>
            <w:pPr>
              <w:pStyle w:val="Normal"/>
              <w:jc w:val="right"/>
              <w:rPr>
                <w:rFonts w:ascii="Arial" w:hAnsi="Arial" w:cs="Arial"/>
                <w:sz w:val="24"/>
              </w:rPr>
            </w:pPr>
            <w:r>
              <w:rPr>
                <w:rFonts w:cs="Arial" w:ascii="Arial" w:hAnsi="Arial"/>
                <w:sz w:val="24"/>
              </w:rPr>
            </w:r>
          </w:p>
          <w:p>
            <w:pPr>
              <w:pStyle w:val="Normal"/>
              <w:jc w:val="right"/>
              <w:rPr>
                <w:rFonts w:ascii="Arial" w:hAnsi="Arial" w:cs="Arial"/>
                <w:b/>
                <w:b/>
                <w:sz w:val="28"/>
              </w:rPr>
            </w:pPr>
            <w:r>
              <w:rPr>
                <w:rFonts w:cs="Arial" w:ascii="Arial" w:hAnsi="Arial"/>
                <w:sz w:val="24"/>
              </w:rPr>
              <w:t xml:space="preserve">Expiration Date: 8/31/2003  </w:t>
            </w:r>
          </w:p>
        </w:tc>
      </w:tr>
      <w:tr>
        <w:trPr/>
        <w:tc>
          <w:tcPr>
            <w:tcW w:w="351" w:type="dxa"/>
            <w:tcBorders/>
          </w:tcPr>
          <w:p>
            <w:pPr>
              <w:pStyle w:val="Normal"/>
              <w:rPr>
                <w:rFonts w:ascii="Arial" w:hAnsi="Arial" w:cs="Arial"/>
                <w:b/>
                <w:b/>
                <w:sz w:val="28"/>
              </w:rPr>
            </w:pPr>
            <w:r>
              <w:rPr>
                <w:rFonts w:cs="Arial" w:ascii="Arial" w:hAnsi="Arial"/>
                <w:b/>
                <w:sz w:val="28"/>
              </w:rPr>
            </w:r>
          </w:p>
        </w:tc>
        <w:tc>
          <w:tcPr>
            <w:tcW w:w="9576" w:type="dxa"/>
            <w:gridSpan w:val="4"/>
            <w:tcBorders/>
            <w:tcMar>
              <w:left w:w="108" w:type="dxa"/>
              <w:right w:w="108" w:type="dxa"/>
            </w:tcMar>
          </w:tcPr>
          <w:p>
            <w:pPr>
              <w:pStyle w:val="Normal"/>
              <w:spacing w:before="60" w:after="60"/>
              <w:rPr>
                <w:rFonts w:ascii="Arial" w:hAnsi="Arial" w:cs="Arial"/>
                <w:b/>
                <w:b/>
                <w:sz w:val="28"/>
              </w:rPr>
            </w:pPr>
            <w:r>
              <w:rPr>
                <w:rFonts w:cs="Arial" w:ascii="Arial" w:hAnsi="Arial"/>
                <w:sz w:val="18"/>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cs="Arial" w:ascii="Arial" w:hAnsi="Arial"/>
                <w:sz w:val="18"/>
                <w:u w:val="single"/>
              </w:rPr>
              <w:t>1810-0602</w:t>
            </w:r>
            <w:r>
              <w:rPr>
                <w:rFonts w:cs="Arial" w:ascii="Arial" w:hAnsi="Arial"/>
                <w:sz w:val="18"/>
              </w:rPr>
              <w:t xml:space="preserve">.  The time required to complete this information collection is estimated to average 8 hours per response, including the time to review instructions, search existing data resources, gather the data needed, and complete and review the information collection.  </w:t>
            </w:r>
            <w:r>
              <w:rPr>
                <w:rFonts w:cs="Arial" w:ascii="Arial" w:hAnsi="Arial"/>
                <w:b/>
                <w:sz w:val="18"/>
              </w:rPr>
              <w:t>If you have any comments concerning the accuracy of the time estimate or suggestions for improving this form, please write to:</w:t>
            </w:r>
            <w:r>
              <w:rPr>
                <w:rFonts w:cs="Arial" w:ascii="Arial" w:hAnsi="Arial"/>
                <w:sz w:val="18"/>
              </w:rPr>
              <w:t xml:space="preserve">  U.S. Department of Education, Washington, DC  20202-4651.  </w:t>
            </w:r>
            <w:r>
              <w:rPr>
                <w:rFonts w:cs="Arial" w:ascii="Arial" w:hAnsi="Arial"/>
                <w:b/>
                <w:sz w:val="18"/>
              </w:rPr>
              <w:t>If you have comments or concerns regarding the status of your individual submission of this form, write directly to:</w:t>
            </w:r>
            <w:r>
              <w:rPr>
                <w:rFonts w:cs="Arial" w:ascii="Arial" w:hAnsi="Arial"/>
                <w:sz w:val="18"/>
              </w:rPr>
              <w:t xml:space="preserve">  Safe and Drug-Free Schools Program, U.S. Department of Education, 400 Maryland Avenue, S.W., Washington, DC  20202-6123.</w:t>
            </w:r>
          </w:p>
        </w:tc>
      </w:tr>
      <w:tr>
        <w:trPr>
          <w:trHeight w:val="1104" w:hRule="atLeast"/>
        </w:trPr>
        <w:tc>
          <w:tcPr>
            <w:tcW w:w="9585" w:type="dxa"/>
            <w:gridSpan w:val="3"/>
            <w:tcBorders>
              <w:top w:val="thickThinSmallGap" w:sz="24" w:space="0" w:color="000000"/>
            </w:tcBorders>
            <w:tcMar>
              <w:left w:w="108" w:type="dxa"/>
              <w:right w:w="108" w:type="dxa"/>
            </w:tcMar>
            <w:vAlign w:val="center"/>
          </w:tcPr>
          <w:p>
            <w:pPr>
              <w:pStyle w:val="Heading6"/>
              <w:spacing w:before="240" w:after="120"/>
              <w:rPr>
                <w:rFonts w:ascii="Arial" w:hAnsi="Arial" w:cs="Arial"/>
                <w:caps w:val="false"/>
                <w:smallCaps w:val="false"/>
                <w:sz w:val="24"/>
              </w:rPr>
            </w:pPr>
            <w:r>
              <w:rPr>
                <w:rFonts w:cs="Arial" w:ascii="Arial" w:hAnsi="Arial"/>
                <w:caps w:val="false"/>
                <w:smallCaps w:val="false"/>
                <w:sz w:val="24"/>
              </w:rPr>
              <w:t>RESPONDENT INFORMATION</w:t>
            </w:r>
          </w:p>
        </w:tc>
        <w:tc>
          <w:tcPr>
            <w:tcW w:w="352" w:type="dxa"/>
            <w:gridSpan w:val="2"/>
            <w:tcBorders/>
          </w:tcPr>
          <w:p>
            <w:pPr>
              <w:pStyle w:val="Normal"/>
              <w:snapToGrid w:val="false"/>
              <w:rPr>
                <w:rFonts w:ascii="Arial" w:hAnsi="Arial" w:cs="Arial"/>
                <w:caps w:val="false"/>
                <w:smallCaps w:val="false"/>
                <w:sz w:val="24"/>
              </w:rPr>
            </w:pPr>
            <w:r>
              <w:rPr>
                <w:rFonts w:cs="Arial" w:ascii="Arial" w:hAnsi="Arial"/>
                <w:caps w:val="false"/>
                <w:smallCaps w:val="false"/>
                <w:sz w:val="24"/>
              </w:rPr>
            </w:r>
          </w:p>
        </w:tc>
      </w:tr>
      <w:tr>
        <w:trPr/>
        <w:tc>
          <w:tcPr>
            <w:tcW w:w="9595" w:type="dxa"/>
            <w:gridSpan w:val="4"/>
            <w:tcBorders>
              <w:top w:val="double" w:sz="4" w:space="0" w:color="000000"/>
              <w:left w:val="double" w:sz="4" w:space="0" w:color="000000"/>
            </w:tcBorders>
            <w:tcMar>
              <w:left w:w="108" w:type="dxa"/>
              <w:right w:w="108" w:type="dxa"/>
            </w:tcMar>
          </w:tcPr>
          <w:p>
            <w:pPr>
              <w:pStyle w:val="SLFlLftSgl"/>
              <w:bidi w:val="0"/>
              <w:spacing w:before="240" w:after="240"/>
              <w:rPr/>
            </w:pPr>
            <w:r>
              <w:rPr>
                <w:rFonts w:cs="Arial" w:ascii="Arial" w:hAnsi="Arial"/>
                <w:b/>
              </w:rPr>
              <w:t>State Name:</w:t>
            </w:r>
            <w:r>
              <w:rPr>
                <w:rFonts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rHeight w:val="762" w:hRule="atLeast"/>
        </w:trPr>
        <w:tc>
          <w:tcPr>
            <w:tcW w:w="9595" w:type="dxa"/>
            <w:gridSpan w:val="4"/>
            <w:tcBorders>
              <w:top w:val="double" w:sz="4" w:space="0" w:color="000000"/>
              <w:left w:val="double" w:sz="4" w:space="0" w:color="000000"/>
            </w:tcBorders>
            <w:tcMar>
              <w:left w:w="108" w:type="dxa"/>
              <w:right w:w="108" w:type="dxa"/>
            </w:tcMar>
          </w:tcPr>
          <w:p>
            <w:pPr>
              <w:pStyle w:val="SLFlLftSgl"/>
              <w:bidi w:val="0"/>
              <w:spacing w:before="240" w:after="240"/>
              <w:rPr/>
            </w:pPr>
            <w:r>
              <w:rPr>
                <w:rFonts w:cs="Arial" w:ascii="Arial" w:hAnsi="Arial"/>
                <w:b/>
              </w:rPr>
              <w:t>Name of Agency Responding:</w:t>
            </w:r>
            <w:r>
              <w:rPr>
                <w:rFonts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double" w:sz="4" w:space="0" w:color="000000"/>
              <w:left w:val="double" w:sz="4" w:space="0" w:color="000000"/>
            </w:tcBorders>
            <w:tcMar>
              <w:left w:w="108" w:type="dxa"/>
              <w:right w:w="108" w:type="dxa"/>
            </w:tcMar>
          </w:tcPr>
          <w:p>
            <w:pPr>
              <w:pStyle w:val="SLFlLftSgl"/>
              <w:bidi w:val="0"/>
              <w:spacing w:before="240" w:after="120"/>
              <w:rPr>
                <w:rFonts w:ascii="Arial" w:hAnsi="Arial" w:cs="Arial"/>
                <w:b/>
                <w:b/>
              </w:rPr>
            </w:pPr>
            <w:r>
              <w:rPr>
                <w:rFonts w:cs="Arial" w:ascii="Arial" w:hAnsi="Arial"/>
                <w:b/>
              </w:rPr>
              <w:t>Name and Title of Individual Completing this Report:</w:t>
            </w:r>
          </w:p>
        </w:tc>
        <w:tc>
          <w:tcPr>
            <w:tcW w:w="342" w:type="dxa"/>
            <w:tcBorders>
              <w:left w:val="double" w:sz="4" w:space="0" w:color="000000"/>
            </w:tcBorders>
          </w:tcPr>
          <w:p>
            <w:pPr>
              <w:pStyle w:val="Normal"/>
              <w:snapToGrid w:val="false"/>
              <w:rPr>
                <w:rFonts w:ascii="Arial" w:hAnsi="Arial" w:cs="Arial"/>
                <w:b/>
                <w:b/>
              </w:rPr>
            </w:pPr>
            <w:r>
              <w:rPr>
                <w:rFonts w:cs="Arial" w:ascii="Arial" w:hAnsi="Arial"/>
                <w:b/>
              </w:rPr>
            </w:r>
          </w:p>
        </w:tc>
      </w:tr>
      <w:tr>
        <w:trPr/>
        <w:tc>
          <w:tcPr>
            <w:tcW w:w="9595" w:type="dxa"/>
            <w:gridSpan w:val="4"/>
            <w:tcBorders>
              <w:top w:val="single" w:sz="6" w:space="0" w:color="000000"/>
              <w:left w:val="double" w:sz="4" w:space="0" w:color="000000"/>
            </w:tcBorders>
            <w:tcMar>
              <w:left w:w="108" w:type="dxa"/>
              <w:right w:w="108" w:type="dxa"/>
            </w:tcMar>
          </w:tcPr>
          <w:p>
            <w:pPr>
              <w:pStyle w:val="Normal"/>
              <w:snapToGrid w:val="false"/>
              <w:spacing w:before="60" w:after="60"/>
              <w:rPr>
                <w:rFonts w:ascii="Arial" w:hAnsi="Arial" w:cs="Arial"/>
              </w:rPr>
            </w:pPr>
            <w:r>
              <w:rPr>
                <w:rFonts w:cs="Arial" w:ascii="Arial" w:hAnsi="Arial"/>
              </w:rPr>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single" w:sz="6" w:space="0" w:color="000000"/>
              <w:left w:val="double" w:sz="4" w:space="0" w:color="000000"/>
            </w:tcBorders>
            <w:tcMar>
              <w:left w:w="108" w:type="dxa"/>
              <w:right w:w="108" w:type="dxa"/>
            </w:tcMar>
          </w:tcPr>
          <w:p>
            <w:pPr>
              <w:pStyle w:val="Normal"/>
              <w:snapToGrid w:val="false"/>
              <w:spacing w:before="60" w:after="60"/>
              <w:rPr>
                <w:rFonts w:ascii="Arial" w:hAnsi="Arial" w:cs="Arial"/>
              </w:rPr>
            </w:pPr>
            <w:r>
              <w:rPr>
                <w:rFonts w:cs="Arial" w:ascii="Arial" w:hAnsi="Arial"/>
              </w:rPr>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double" w:sz="4" w:space="0" w:color="000000"/>
              <w:left w:val="double" w:sz="4" w:space="0" w:color="000000"/>
            </w:tcBorders>
            <w:tcMar>
              <w:left w:w="108" w:type="dxa"/>
              <w:right w:w="108" w:type="dxa"/>
            </w:tcMar>
          </w:tcPr>
          <w:p>
            <w:pPr>
              <w:pStyle w:val="SLFlLftSgl"/>
              <w:bidi w:val="0"/>
              <w:spacing w:before="240" w:after="120"/>
              <w:rPr/>
            </w:pPr>
            <w:r>
              <w:rPr>
                <w:rFonts w:cs="Arial" w:ascii="Arial" w:hAnsi="Arial"/>
                <w:b/>
              </w:rPr>
              <w:t>Mailing Address:</w:t>
            </w:r>
            <w:r>
              <w:rPr>
                <w:rFonts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single" w:sz="6" w:space="0" w:color="000000"/>
              <w:left w:val="double" w:sz="4" w:space="0" w:color="000000"/>
              <w:bottom w:val="single" w:sz="6" w:space="0" w:color="000000"/>
            </w:tcBorders>
            <w:tcMar>
              <w:left w:w="108" w:type="dxa"/>
              <w:right w:w="108" w:type="dxa"/>
            </w:tcMar>
          </w:tcPr>
          <w:p>
            <w:pPr>
              <w:pStyle w:val="Normal"/>
              <w:snapToGrid w:val="false"/>
              <w:spacing w:before="60" w:after="60"/>
              <w:rPr>
                <w:rFonts w:ascii="Arial" w:hAnsi="Arial" w:cs="Arial"/>
              </w:rPr>
            </w:pPr>
            <w:r>
              <w:rPr>
                <w:rFonts w:cs="Arial" w:ascii="Arial" w:hAnsi="Arial"/>
              </w:rPr>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single" w:sz="6" w:space="0" w:color="000000"/>
              <w:left w:val="double" w:sz="4" w:space="0" w:color="000000"/>
            </w:tcBorders>
            <w:tcMar>
              <w:left w:w="108" w:type="dxa"/>
              <w:right w:w="108" w:type="dxa"/>
            </w:tcMar>
          </w:tcPr>
          <w:p>
            <w:pPr>
              <w:pStyle w:val="SLFlLftSgl"/>
              <w:bidi w:val="0"/>
              <w:spacing w:before="60" w:after="60"/>
              <w:rPr>
                <w:rFonts w:ascii="Arial" w:hAnsi="Arial" w:eastAsia="Arial" w:cs="Arial"/>
              </w:rPr>
            </w:pPr>
            <w:r>
              <w:rPr>
                <w:rFonts w:eastAsia="Arial"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single" w:sz="6" w:space="0" w:color="000000"/>
              <w:left w:val="double" w:sz="4" w:space="0" w:color="000000"/>
            </w:tcBorders>
            <w:tcMar>
              <w:left w:w="108" w:type="dxa"/>
              <w:right w:w="108" w:type="dxa"/>
            </w:tcMar>
          </w:tcPr>
          <w:p>
            <w:pPr>
              <w:pStyle w:val="SLFlLftSgl"/>
              <w:bidi w:val="0"/>
              <w:spacing w:before="60" w:after="60"/>
              <w:rPr/>
            </w:pPr>
            <w:r>
              <w:rPr>
                <w:rFonts w:cs="Arial" w:ascii="Arial" w:hAnsi="Arial"/>
                <w:b/>
              </w:rPr>
              <w:t>E-Mail Address:</w:t>
            </w:r>
            <w:r>
              <w:rPr>
                <w:rFonts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r>
        <w:trPr/>
        <w:tc>
          <w:tcPr>
            <w:tcW w:w="9595" w:type="dxa"/>
            <w:gridSpan w:val="4"/>
            <w:tcBorders>
              <w:top w:val="double" w:sz="4" w:space="0" w:color="000000"/>
              <w:left w:val="double" w:sz="4" w:space="0" w:color="000000"/>
            </w:tcBorders>
            <w:tcMar>
              <w:left w:w="108" w:type="dxa"/>
              <w:right w:w="108" w:type="dxa"/>
            </w:tcMar>
          </w:tcPr>
          <w:p>
            <w:pPr>
              <w:pStyle w:val="SLFlLftSgl"/>
              <w:bidi w:val="0"/>
              <w:spacing w:before="240" w:after="60"/>
              <w:rPr>
                <w:rFonts w:ascii="Arial" w:hAnsi="Arial" w:cs="Arial"/>
                <w:b/>
                <w:b/>
              </w:rPr>
            </w:pPr>
            <w:r>
              <w:rPr>
                <w:rFonts w:cs="Arial" w:ascii="Arial" w:hAnsi="Arial"/>
                <w:b/>
              </w:rPr>
              <w:t>Telephone and Fax Number of Individual Completing this Report:</w:t>
            </w:r>
          </w:p>
        </w:tc>
        <w:tc>
          <w:tcPr>
            <w:tcW w:w="342" w:type="dxa"/>
            <w:tcBorders>
              <w:left w:val="double" w:sz="4" w:space="0" w:color="000000"/>
            </w:tcBorders>
          </w:tcPr>
          <w:p>
            <w:pPr>
              <w:pStyle w:val="Normal"/>
              <w:snapToGrid w:val="false"/>
              <w:rPr>
                <w:rFonts w:ascii="Arial" w:hAnsi="Arial" w:cs="Arial"/>
                <w:b/>
                <w:b/>
              </w:rPr>
            </w:pPr>
            <w:r>
              <w:rPr>
                <w:rFonts w:cs="Arial" w:ascii="Arial" w:hAnsi="Arial"/>
                <w:b/>
              </w:rPr>
            </w:r>
          </w:p>
        </w:tc>
      </w:tr>
      <w:tr>
        <w:trPr/>
        <w:tc>
          <w:tcPr>
            <w:tcW w:w="9595" w:type="dxa"/>
            <w:gridSpan w:val="4"/>
            <w:tcBorders>
              <w:left w:val="double" w:sz="4" w:space="0" w:color="000000"/>
              <w:bottom w:val="double" w:sz="4" w:space="0" w:color="000000"/>
            </w:tcBorders>
            <w:tcMar>
              <w:left w:w="108" w:type="dxa"/>
              <w:right w:w="108" w:type="dxa"/>
            </w:tcMar>
          </w:tcPr>
          <w:p>
            <w:pPr>
              <w:pStyle w:val="Normal"/>
              <w:spacing w:before="240" w:after="240"/>
              <w:jc w:val="left"/>
              <w:rPr/>
            </w:pPr>
            <w:r>
              <w:rPr>
                <w:rFonts w:cs="Arial" w:ascii="Arial" w:hAnsi="Arial"/>
                <w:b/>
              </w:rPr>
              <w:t>Phone:</w:t>
            </w:r>
            <w:r>
              <w:rPr>
                <w:rFonts w:cs="Arial" w:ascii="Arial" w:hAnsi="Arial"/>
              </w:rPr>
              <w:t xml:space="preserve">                                                                                                   </w:t>
            </w:r>
            <w:r>
              <w:rPr>
                <w:rFonts w:cs="Arial" w:ascii="Arial" w:hAnsi="Arial"/>
                <w:b/>
              </w:rPr>
              <w:t>Fax:</w:t>
            </w:r>
            <w:r>
              <w:rPr>
                <w:rFonts w:cs="Arial" w:ascii="Arial" w:hAnsi="Arial"/>
              </w:rPr>
              <w:t xml:space="preserve"> </w:t>
            </w:r>
          </w:p>
        </w:tc>
        <w:tc>
          <w:tcPr>
            <w:tcW w:w="342" w:type="dxa"/>
            <w:tcBorders>
              <w:left w:val="double" w:sz="4" w:space="0" w:color="000000"/>
            </w:tcBorders>
          </w:tcPr>
          <w:p>
            <w:pPr>
              <w:pStyle w:val="Normal"/>
              <w:snapToGrid w:val="false"/>
              <w:rPr>
                <w:rFonts w:ascii="Arial" w:hAnsi="Arial" w:cs="Arial"/>
              </w:rPr>
            </w:pPr>
            <w:r>
              <w:rPr>
                <w:rFonts w:cs="Arial" w:ascii="Arial" w:hAnsi="Arial"/>
              </w:rPr>
            </w:r>
          </w:p>
        </w:tc>
      </w:tr>
    </w:tbl>
    <w:p>
      <w:pPr>
        <w:pStyle w:val="Heading6"/>
        <w:spacing w:before="0" w:after="0"/>
        <w:rPr>
          <w:rFonts w:ascii="Arial" w:hAnsi="Arial" w:cs="Arial"/>
          <w:caps w:val="false"/>
          <w:smallCaps w:val="false"/>
          <w:sz w:val="24"/>
        </w:rPr>
      </w:pPr>
      <w:r>
        <w:br w:type="page"/>
      </w:r>
      <w:r>
        <w:rPr>
          <w:rFonts w:cs="Arial" w:ascii="Arial" w:hAnsi="Arial"/>
          <w:caps w:val="false"/>
          <w:smallCaps w:val="false"/>
          <w:sz w:val="24"/>
        </w:rPr>
        <w:t>GUN-FREE SCHOOLS ACT REPORT</w:t>
      </w:r>
    </w:p>
    <w:p>
      <w:pPr>
        <w:pStyle w:val="Normal"/>
        <w:spacing w:before="120" w:after="120"/>
        <w:jc w:val="center"/>
        <w:rPr>
          <w:rFonts w:ascii="Arial" w:hAnsi="Arial" w:cs="Arial"/>
          <w:b/>
          <w:b/>
          <w:sz w:val="24"/>
        </w:rPr>
      </w:pPr>
      <w:r>
        <w:rPr>
          <w:rFonts w:cs="Arial" w:ascii="Arial" w:hAnsi="Arial"/>
          <w:b/>
          <w:sz w:val="24"/>
        </w:rPr>
        <w:t>INTRODUCTION</w:t>
      </w:r>
    </w:p>
    <w:p>
      <w:pPr>
        <w:pStyle w:val="Normal"/>
        <w:spacing w:before="120" w:after="120"/>
        <w:jc w:val="center"/>
        <w:rPr>
          <w:rFonts w:ascii="Arial" w:hAnsi="Arial" w:cs="Arial"/>
          <w:b/>
          <w:b/>
          <w:sz w:val="24"/>
        </w:rPr>
      </w:pPr>
      <w:r>
        <w:rPr>
          <w:rFonts w:cs="Arial" w:ascii="Arial" w:hAnsi="Arial"/>
          <w:b/>
          <w:sz w:val="24"/>
        </w:rPr>
      </w:r>
    </w:p>
    <w:p>
      <w:pPr>
        <w:pStyle w:val="Normal"/>
        <w:spacing w:lineRule="auto" w:line="240" w:before="120" w:after="120"/>
        <w:rPr/>
      </w:pPr>
      <w:r>
        <w:rPr/>
        <w:t>The Gun-Free Schools Act (GFSA), Part F of Title XIV of the Elementary and Secondary Education Act (ESEA) of 1965 requires that each State have in effect a State law requiring local educational agencies (LEAs) to expel from school for a period of not less than one year a student found to have brought a weapon to school.  In addition, under the GFSA, LEAs receiving ESEA funds must adopt a policy requiring referral to the criminal justice or juvenile delinquency system of any student who brings a firearm to school.</w:t>
      </w:r>
    </w:p>
    <w:p>
      <w:pPr>
        <w:pStyle w:val="Normal"/>
        <w:spacing w:lineRule="auto" w:line="240" w:before="120" w:after="120"/>
        <w:rPr/>
      </w:pPr>
      <w:r>
        <w:rPr/>
        <w:t>Each State’s law also must allow the chief administering officer of the LEA to modify the expulsion requirement on a case-by-case basis.  The GFSA also states that nothing in the GFSA shall be construed to prevent a State from allowing a local educational agency that has expelled a student from such student’s regular school setting from providing educational services to that student in an alternative setting.</w:t>
      </w:r>
    </w:p>
    <w:p>
      <w:pPr>
        <w:pStyle w:val="Normal"/>
        <w:spacing w:lineRule="auto" w:line="240" w:before="120" w:after="120"/>
        <w:rPr/>
      </w:pPr>
      <w:r>
        <w:rPr/>
        <w:t>The GFSA also requires States to provide annual reports to the Secretary of Education concerning implementation of the Act’s requirements.  The Secretary is required to report to Congress if any State is not in compliance with the GFSA.</w:t>
      </w:r>
    </w:p>
    <w:p>
      <w:pPr>
        <w:pStyle w:val="BodyText2"/>
        <w:rPr>
          <w:b/>
          <w:b/>
        </w:rPr>
      </w:pPr>
      <w:r>
        <w:rPr>
          <w:b/>
        </w:rPr>
        <w:t>PLEASE USE THE ATTACHED FORM TO PROVIDE INFORMATION ON IMPLEMENTATION OF THE GFSA.</w:t>
      </w:r>
    </w:p>
    <w:p>
      <w:pPr>
        <w:pStyle w:val="Normal"/>
        <w:rPr>
          <w:b/>
          <w:b/>
        </w:rPr>
      </w:pPr>
      <w:r>
        <w:rPr>
          <w:b/>
        </w:rPr>
      </w:r>
    </w:p>
    <w:tbl>
      <w:tblPr>
        <w:tblW w:w="9241" w:type="dxa"/>
        <w:jc w:val="center"/>
        <w:tblInd w:w="0" w:type="dxa"/>
        <w:tblCellMar>
          <w:top w:w="0" w:type="dxa"/>
          <w:left w:w="108" w:type="dxa"/>
          <w:bottom w:w="0" w:type="dxa"/>
          <w:right w:w="108" w:type="dxa"/>
        </w:tblCellMar>
      </w:tblPr>
      <w:tblGrid>
        <w:gridCol w:w="9241"/>
      </w:tblGrid>
      <w:tr>
        <w:trPr/>
        <w:tc>
          <w:tcPr>
            <w:tcW w:w="9241" w:type="dxa"/>
            <w:tcBorders>
              <w:top w:val="double" w:sz="4" w:space="0" w:color="000000"/>
              <w:left w:val="double" w:sz="4" w:space="0" w:color="000000"/>
              <w:bottom w:val="double" w:sz="4" w:space="0" w:color="000000"/>
              <w:right w:val="double" w:sz="4" w:space="0" w:color="000000"/>
            </w:tcBorders>
          </w:tcPr>
          <w:p>
            <w:pPr>
              <w:pStyle w:val="Normal"/>
              <w:spacing w:lineRule="auto" w:line="240" w:before="120" w:after="120"/>
              <w:jc w:val="center"/>
              <w:rPr>
                <w:rFonts w:ascii="Arial" w:hAnsi="Arial" w:cs="Arial"/>
                <w:b/>
                <w:b/>
                <w:sz w:val="24"/>
              </w:rPr>
            </w:pPr>
            <w:r>
              <w:rPr>
                <w:rFonts w:cs="Arial" w:ascii="Arial" w:hAnsi="Arial"/>
                <w:b/>
                <w:sz w:val="24"/>
              </w:rPr>
              <w:t>GENERAL DIRECTIONS FOR COMPLETING THE REPORT</w:t>
            </w:r>
          </w:p>
        </w:tc>
      </w:tr>
      <w:tr>
        <w:trPr/>
        <w:tc>
          <w:tcPr>
            <w:tcW w:w="9241" w:type="dxa"/>
            <w:tcBorders>
              <w:left w:val="double" w:sz="4" w:space="0" w:color="000000"/>
              <w:bottom w:val="double" w:sz="4" w:space="0" w:color="000000"/>
              <w:right w:val="double" w:sz="4" w:space="0" w:color="000000"/>
            </w:tcBorders>
          </w:tcPr>
          <w:p>
            <w:pPr>
              <w:pStyle w:val="Normal"/>
              <w:spacing w:lineRule="auto" w:line="240" w:before="120" w:after="60"/>
              <w:ind w:left="360" w:hanging="360"/>
              <w:rPr>
                <w:sz w:val="21"/>
              </w:rPr>
            </w:pPr>
            <w:r>
              <w:rPr>
                <w:sz w:val="21"/>
              </w:rPr>
              <w:t>1.</w:t>
              <w:tab/>
              <w:t>The time period covered by this report is the 2001-02 school year.</w:t>
            </w:r>
          </w:p>
          <w:p>
            <w:pPr>
              <w:pStyle w:val="Normal"/>
              <w:spacing w:lineRule="auto" w:line="240" w:before="60" w:after="60"/>
              <w:ind w:left="360" w:hanging="360"/>
              <w:rPr>
                <w:sz w:val="21"/>
              </w:rPr>
            </w:pPr>
            <w:r>
              <w:rPr>
                <w:sz w:val="21"/>
              </w:rPr>
              <w:t>2.</w:t>
              <w:tab/>
              <w:t>Please complete this entire form.  If questions are left blank, we will not be able to interpret the results and will have to follow up with a phone call.  If a response to a question is “0” or “none,” be sure to enter “0” or “none.”  If information is not available, please indicate by using the following abbreviation:               MD = Missing Data</w:t>
            </w:r>
          </w:p>
          <w:p>
            <w:pPr>
              <w:pStyle w:val="BodyTextIndent2"/>
              <w:spacing w:lineRule="auto" w:line="240" w:before="60" w:after="60"/>
              <w:ind w:left="360" w:hanging="352"/>
              <w:rPr>
                <w:sz w:val="21"/>
              </w:rPr>
            </w:pPr>
            <w:r>
              <w:rPr>
                <w:sz w:val="21"/>
              </w:rPr>
              <w:t>3.</w:t>
              <w:tab/>
              <w:t>Please retain a copy of the completed form for your files so that you will have a copy on hand to refer to if we have questions about your responses.</w:t>
            </w:r>
          </w:p>
          <w:p>
            <w:pPr>
              <w:pStyle w:val="Normal"/>
              <w:spacing w:lineRule="auto" w:line="240" w:before="60" w:after="60"/>
              <w:ind w:left="360" w:hanging="360"/>
              <w:rPr>
                <w:sz w:val="21"/>
              </w:rPr>
            </w:pPr>
            <w:r>
              <w:rPr>
                <w:sz w:val="21"/>
              </w:rPr>
              <w:t>4.</w:t>
              <w:tab/>
              <w:t>Please complete the attached form and mail no later than December 2, 2002 to:</w:t>
            </w:r>
          </w:p>
          <w:p>
            <w:pPr>
              <w:pStyle w:val="Normal"/>
              <w:spacing w:lineRule="auto" w:line="240" w:before="60" w:after="0"/>
              <w:ind w:left="1800" w:hanging="360"/>
              <w:rPr>
                <w:sz w:val="21"/>
              </w:rPr>
            </w:pPr>
            <w:r>
              <w:rPr>
                <w:sz w:val="21"/>
              </w:rPr>
              <w:t>Westat</w:t>
            </w:r>
          </w:p>
          <w:p>
            <w:pPr>
              <w:pStyle w:val="Normal"/>
              <w:spacing w:lineRule="auto" w:line="240"/>
              <w:ind w:left="1800" w:hanging="360"/>
              <w:rPr>
                <w:sz w:val="21"/>
              </w:rPr>
            </w:pPr>
            <w:r>
              <w:rPr>
                <w:sz w:val="21"/>
              </w:rPr>
              <w:t>1650 Research Boulevard, Room RA 1238</w:t>
            </w:r>
          </w:p>
          <w:p>
            <w:pPr>
              <w:pStyle w:val="Normal"/>
              <w:spacing w:lineRule="auto" w:line="240" w:before="0" w:after="60"/>
              <w:ind w:left="1800" w:hanging="360"/>
              <w:rPr>
                <w:sz w:val="21"/>
              </w:rPr>
            </w:pPr>
            <w:r>
              <w:rPr>
                <w:sz w:val="21"/>
              </w:rPr>
              <w:t>Rockville, MD  20850</w:t>
            </w:r>
          </w:p>
          <w:p>
            <w:pPr>
              <w:pStyle w:val="Normal"/>
              <w:spacing w:lineRule="auto" w:line="240" w:before="60" w:after="60"/>
              <w:rPr>
                <w:sz w:val="20"/>
              </w:rPr>
            </w:pPr>
            <w:r>
              <w:rPr>
                <w:sz w:val="21"/>
              </w:rPr>
              <w:t>If questions arise about completing any of the items on the attached form, please do not hesitate to contact the Safe and Drug-Free Schools Program at (202) 260-3954 for clarification.</w:t>
            </w:r>
          </w:p>
        </w:tc>
      </w:tr>
    </w:tbl>
    <w:p>
      <w:pPr>
        <w:pStyle w:val="Normal"/>
        <w:rPr/>
      </w:pPr>
      <w:r>
        <w:br w:type="page"/>
      </w:r>
      <w:r>
        <w:rPr/>
      </w:r>
    </w:p>
    <w:tbl>
      <w:tblPr>
        <w:tblW w:w="9208" w:type="dxa"/>
        <w:jc w:val="center"/>
        <w:tblInd w:w="0" w:type="dxa"/>
        <w:tblCellMar>
          <w:top w:w="0" w:type="dxa"/>
          <w:left w:w="108" w:type="dxa"/>
          <w:bottom w:w="0" w:type="dxa"/>
          <w:right w:w="108" w:type="dxa"/>
        </w:tblCellMar>
      </w:tblPr>
      <w:tblGrid>
        <w:gridCol w:w="9208"/>
      </w:tblGrid>
      <w:tr>
        <w:trPr/>
        <w:tc>
          <w:tcPr>
            <w:tcW w:w="9208" w:type="dxa"/>
            <w:tcBorders>
              <w:top w:val="double" w:sz="4" w:space="0" w:color="000000"/>
              <w:left w:val="double" w:sz="4" w:space="0" w:color="000000"/>
              <w:bottom w:val="double" w:sz="4" w:space="0" w:color="000000"/>
              <w:right w:val="double" w:sz="4" w:space="0" w:color="000000"/>
            </w:tcBorders>
            <w:vAlign w:val="center"/>
          </w:tcPr>
          <w:p>
            <w:pPr>
              <w:pStyle w:val="Normal"/>
              <w:spacing w:before="120" w:after="120"/>
              <w:jc w:val="center"/>
              <w:rPr>
                <w:rFonts w:ascii="Arial" w:hAnsi="Arial" w:cs="Arial"/>
                <w:b/>
                <w:b/>
                <w:sz w:val="24"/>
              </w:rPr>
            </w:pPr>
            <w:r>
              <w:rPr>
                <w:rFonts w:cs="Arial" w:ascii="Arial" w:hAnsi="Arial"/>
                <w:b/>
                <w:sz w:val="24"/>
              </w:rPr>
              <w:t>ABBREVIATIONS AND DEFINITIONS</w:t>
            </w:r>
          </w:p>
        </w:tc>
      </w:tr>
      <w:tr>
        <w:trPr/>
        <w:tc>
          <w:tcPr>
            <w:tcW w:w="9208" w:type="dxa"/>
            <w:tcBorders>
              <w:top w:val="double" w:sz="4" w:space="0" w:color="000000"/>
              <w:left w:val="double" w:sz="4" w:space="0" w:color="000000"/>
              <w:bottom w:val="double" w:sz="4" w:space="0" w:color="000000"/>
              <w:right w:val="double" w:sz="4" w:space="0" w:color="000000"/>
            </w:tcBorders>
          </w:tcPr>
          <w:p>
            <w:pPr>
              <w:pStyle w:val="Normal"/>
              <w:spacing w:before="120" w:after="0"/>
              <w:ind w:left="1827" w:hanging="1827"/>
              <w:rPr>
                <w:sz w:val="20"/>
              </w:rPr>
            </w:pPr>
            <w:r>
              <w:rPr>
                <w:sz w:val="20"/>
              </w:rPr>
              <w:t>LEA</w:t>
              <w:tab/>
              <w:t>local educational agency</w:t>
            </w:r>
          </w:p>
          <w:p>
            <w:pPr>
              <w:pStyle w:val="Normal"/>
              <w:spacing w:lineRule="auto" w:line="240"/>
              <w:ind w:left="1800" w:hanging="1800"/>
              <w:rPr>
                <w:sz w:val="20"/>
              </w:rPr>
            </w:pPr>
            <w:r>
              <w:rPr>
                <w:sz w:val="20"/>
              </w:rPr>
              <w:t>GFSA</w:t>
              <w:tab/>
              <w:t>Gun-Free Schools Act</w:t>
            </w:r>
          </w:p>
          <w:p>
            <w:pPr>
              <w:pStyle w:val="Normal"/>
              <w:spacing w:lineRule="auto" w:line="240"/>
              <w:ind w:left="1800" w:hanging="1800"/>
              <w:rPr>
                <w:sz w:val="20"/>
              </w:rPr>
            </w:pPr>
            <w:r>
              <w:rPr>
                <w:sz w:val="20"/>
              </w:rPr>
              <w:t>IDEA</w:t>
              <w:tab/>
              <w:t>Individuals with Disabilities Education Act</w:t>
            </w:r>
          </w:p>
          <w:p>
            <w:pPr>
              <w:pStyle w:val="Normal"/>
              <w:spacing w:lineRule="auto" w:line="240" w:before="0" w:after="60"/>
              <w:ind w:left="1800" w:hanging="1800"/>
              <w:rPr>
                <w:sz w:val="20"/>
              </w:rPr>
            </w:pPr>
            <w:r>
              <w:rPr>
                <w:sz w:val="20"/>
              </w:rPr>
              <w:t>ESEA</w:t>
              <w:tab/>
              <w:t>Elementary and Secondary Education Act</w:t>
            </w:r>
          </w:p>
          <w:p>
            <w:pPr>
              <w:pStyle w:val="Normal"/>
              <w:spacing w:lineRule="auto" w:line="240" w:before="60" w:after="60"/>
              <w:ind w:left="1800" w:hanging="1800"/>
              <w:jc w:val="left"/>
              <w:rPr>
                <w:sz w:val="20"/>
              </w:rPr>
            </w:pPr>
            <w:r>
              <w:rPr>
                <w:sz w:val="20"/>
              </w:rPr>
              <w:t>Elementary school</w:t>
              <w:tab/>
              <w:t>A school classified as elementary by state and local practice and composed of any span of grades not above Grade 6.  Combined elementary/junior high schools are considered junior high schools and combined elementary and secondary schools (e.g., K-12 buildings) are classified as high schools for this report.</w:t>
            </w:r>
          </w:p>
          <w:p>
            <w:pPr>
              <w:pStyle w:val="Normal"/>
              <w:spacing w:lineRule="auto" w:line="240" w:before="60" w:after="60"/>
              <w:ind w:left="1800" w:hanging="1800"/>
              <w:jc w:val="left"/>
              <w:rPr>
                <w:sz w:val="20"/>
              </w:rPr>
            </w:pPr>
            <w:r>
              <w:rPr>
                <w:sz w:val="20"/>
              </w:rPr>
              <w:t>Junior high school</w:t>
              <w:tab/>
              <w:t>A separately organized and administered school intermediate between elementary and senior high schools, which might also be called a middle school, usually includes Grades 7, 8, and 9; Grade 7 and 8; or Grades 6, 7, and 8.  Combined elementary/junior high schools are considered junior high schools for this report; junior/senior high school combinations are defined as senior high schools.</w:t>
            </w:r>
          </w:p>
          <w:p>
            <w:pPr>
              <w:pStyle w:val="TextBodyIndent"/>
              <w:ind w:left="1791" w:hanging="1800"/>
              <w:rPr>
                <w:rFonts w:ascii="Times New Roman" w:hAnsi="Times New Roman" w:cs="Times New Roman"/>
                <w:sz w:val="20"/>
              </w:rPr>
            </w:pPr>
            <w:r>
              <w:rPr>
                <w:rFonts w:cs="Times New Roman" w:ascii="Times New Roman" w:hAnsi="Times New Roman"/>
                <w:sz w:val="20"/>
              </w:rPr>
              <w:t>Senior high school</w:t>
              <w:tab/>
              <w:t>A school offering the final years of school work necessary for graduation, usually including Grades 10, 11, and 12; or Grades 9, 10, 11, and 12.  Combined junior and senior high schools are classified as high schools for this form; combined elementary and secondary schools (e.g., K-12 buildings) are classified as high schools.</w:t>
            </w:r>
          </w:p>
          <w:p>
            <w:pPr>
              <w:pStyle w:val="Normal"/>
              <w:spacing w:lineRule="auto" w:line="240" w:before="60" w:after="60"/>
              <w:ind w:left="1800" w:hanging="1800"/>
              <w:jc w:val="left"/>
              <w:rPr>
                <w:sz w:val="20"/>
              </w:rPr>
            </w:pPr>
            <w:r>
              <w:rPr>
                <w:sz w:val="20"/>
              </w:rPr>
              <w:t>Other firearms</w:t>
              <w:tab/>
              <w:t>Firearms other than handguns, rifles or shotguns as defined in 18 USC 921.  According to Section 921, the following are included within the definition:  (Note:  This definition does not apply to items such as toy guns, cap guns, bb guns, and pellet guns)</w:t>
            </w:r>
          </w:p>
          <w:p>
            <w:pPr>
              <w:pStyle w:val="Normal"/>
              <w:tabs>
                <w:tab w:val="clear" w:pos="720"/>
                <w:tab w:val="left" w:pos="2160" w:leader="none"/>
              </w:tabs>
              <w:spacing w:lineRule="auto" w:line="240"/>
              <w:ind w:left="2160" w:hanging="360"/>
              <w:rPr>
                <w:sz w:val="20"/>
              </w:rPr>
            </w:pPr>
            <w:r>
              <w:rPr>
                <w:sz w:val="20"/>
              </w:rPr>
              <w:t>--</w:t>
              <w:tab/>
              <w:t>any weapon (including a starter gun) which will or is designed to or may readily be converted to expel a projectile by the action of any explosive;</w:t>
            </w:r>
          </w:p>
          <w:p>
            <w:pPr>
              <w:pStyle w:val="Normal"/>
              <w:tabs>
                <w:tab w:val="clear" w:pos="720"/>
                <w:tab w:val="left" w:pos="2160" w:leader="none"/>
              </w:tabs>
              <w:spacing w:lineRule="auto" w:line="240"/>
              <w:ind w:left="3600" w:hanging="1800"/>
              <w:rPr>
                <w:sz w:val="20"/>
              </w:rPr>
            </w:pPr>
            <w:r>
              <w:rPr>
                <w:sz w:val="20"/>
              </w:rPr>
              <w:t>--</w:t>
              <w:tab/>
              <w:t>the frame or receiver of any weapon described above;</w:t>
            </w:r>
          </w:p>
          <w:p>
            <w:pPr>
              <w:pStyle w:val="Normal"/>
              <w:tabs>
                <w:tab w:val="clear" w:pos="720"/>
                <w:tab w:val="left" w:pos="2160" w:leader="none"/>
              </w:tabs>
              <w:spacing w:lineRule="auto" w:line="240"/>
              <w:ind w:left="3600" w:hanging="1800"/>
              <w:rPr>
                <w:sz w:val="20"/>
              </w:rPr>
            </w:pPr>
            <w:r>
              <w:rPr>
                <w:sz w:val="20"/>
              </w:rPr>
              <w:t>--</w:t>
              <w:tab/>
              <w:t>any firearm muffler or firearm silencer;</w:t>
            </w:r>
          </w:p>
          <w:p>
            <w:pPr>
              <w:pStyle w:val="Normal"/>
              <w:tabs>
                <w:tab w:val="clear" w:pos="720"/>
                <w:tab w:val="left" w:pos="2160" w:leader="none"/>
              </w:tabs>
              <w:spacing w:lineRule="auto" w:line="240"/>
              <w:ind w:left="3600" w:hanging="1800"/>
              <w:rPr>
                <w:sz w:val="20"/>
              </w:rPr>
            </w:pPr>
            <w:r>
              <w:rPr>
                <w:sz w:val="20"/>
              </w:rPr>
              <w:t>--</w:t>
              <w:tab/>
              <w:t>any destructive device, which includes:</w:t>
            </w:r>
          </w:p>
          <w:p>
            <w:pPr>
              <w:pStyle w:val="Normal"/>
              <w:tabs>
                <w:tab w:val="clear" w:pos="720"/>
                <w:tab w:val="left" w:pos="2160" w:leader="none"/>
              </w:tabs>
              <w:spacing w:lineRule="auto" w:line="240"/>
              <w:ind w:left="3600" w:hanging="1800"/>
              <w:rPr>
                <w:sz w:val="20"/>
              </w:rPr>
            </w:pPr>
            <w:r>
              <w:rPr>
                <w:sz w:val="20"/>
              </w:rPr>
              <w:t>(a)</w:t>
              <w:tab/>
              <w:t>any explosive, incendiary, or poison gas</w:t>
            </w:r>
          </w:p>
          <w:p>
            <w:pPr>
              <w:pStyle w:val="Normal"/>
              <w:numPr>
                <w:ilvl w:val="0"/>
                <w:numId w:val="10"/>
              </w:numPr>
              <w:tabs>
                <w:tab w:val="clear" w:pos="720"/>
                <w:tab w:val="left" w:pos="2340" w:leader="none"/>
              </w:tabs>
              <w:spacing w:lineRule="auto" w:line="240"/>
              <w:ind w:left="3701" w:hanging="461"/>
              <w:rPr>
                <w:sz w:val="20"/>
              </w:rPr>
            </w:pPr>
            <w:r>
              <w:rPr>
                <w:sz w:val="20"/>
              </w:rPr>
              <w:t>Bomb;</w:t>
            </w:r>
          </w:p>
          <w:p>
            <w:pPr>
              <w:pStyle w:val="Normal"/>
              <w:numPr>
                <w:ilvl w:val="0"/>
                <w:numId w:val="10"/>
              </w:numPr>
              <w:tabs>
                <w:tab w:val="clear" w:pos="720"/>
                <w:tab w:val="left" w:pos="2340" w:leader="none"/>
              </w:tabs>
              <w:spacing w:lineRule="auto" w:line="240"/>
              <w:ind w:left="3701" w:hanging="461"/>
              <w:rPr>
                <w:sz w:val="20"/>
              </w:rPr>
            </w:pPr>
            <w:r>
              <w:rPr>
                <w:sz w:val="20"/>
              </w:rPr>
              <w:t>Grenade,</w:t>
            </w:r>
          </w:p>
          <w:p>
            <w:pPr>
              <w:pStyle w:val="Normal"/>
              <w:numPr>
                <w:ilvl w:val="0"/>
                <w:numId w:val="10"/>
              </w:numPr>
              <w:tabs>
                <w:tab w:val="clear" w:pos="720"/>
                <w:tab w:val="left" w:pos="2340" w:leader="none"/>
              </w:tabs>
              <w:spacing w:lineRule="auto" w:line="240"/>
              <w:ind w:left="3701" w:hanging="461"/>
              <w:rPr>
                <w:sz w:val="20"/>
              </w:rPr>
            </w:pPr>
            <w:r>
              <w:rPr>
                <w:sz w:val="20"/>
              </w:rPr>
              <w:t>Rocket having a propellant charge of more than four ounces,</w:t>
            </w:r>
          </w:p>
          <w:p>
            <w:pPr>
              <w:pStyle w:val="Normal"/>
              <w:numPr>
                <w:ilvl w:val="0"/>
                <w:numId w:val="10"/>
              </w:numPr>
              <w:tabs>
                <w:tab w:val="clear" w:pos="720"/>
                <w:tab w:val="left" w:pos="2340" w:leader="none"/>
              </w:tabs>
              <w:spacing w:lineRule="auto" w:line="240"/>
              <w:ind w:left="3600" w:hanging="360"/>
              <w:rPr>
                <w:sz w:val="20"/>
              </w:rPr>
            </w:pPr>
            <w:r>
              <w:rPr>
                <w:sz w:val="20"/>
              </w:rPr>
              <w:t>Missile having an explosive or incendiary charge of more than one-quarter ounce,</w:t>
            </w:r>
          </w:p>
          <w:p>
            <w:pPr>
              <w:pStyle w:val="Normal"/>
              <w:numPr>
                <w:ilvl w:val="0"/>
                <w:numId w:val="10"/>
              </w:numPr>
              <w:tabs>
                <w:tab w:val="clear" w:pos="720"/>
                <w:tab w:val="left" w:pos="2340" w:leader="none"/>
              </w:tabs>
              <w:spacing w:lineRule="auto" w:line="240"/>
              <w:ind w:left="3701" w:hanging="461"/>
              <w:rPr>
                <w:sz w:val="20"/>
              </w:rPr>
            </w:pPr>
            <w:r>
              <w:rPr>
                <w:sz w:val="20"/>
              </w:rPr>
              <w:t>Mine, or</w:t>
            </w:r>
          </w:p>
          <w:p>
            <w:pPr>
              <w:pStyle w:val="Normal"/>
              <w:numPr>
                <w:ilvl w:val="0"/>
                <w:numId w:val="10"/>
              </w:numPr>
              <w:tabs>
                <w:tab w:val="clear" w:pos="720"/>
                <w:tab w:val="left" w:pos="2340" w:leader="none"/>
              </w:tabs>
              <w:spacing w:lineRule="auto" w:line="240"/>
              <w:ind w:left="3701" w:hanging="461"/>
              <w:rPr>
                <w:sz w:val="20"/>
              </w:rPr>
            </w:pPr>
            <w:r>
              <w:rPr>
                <w:sz w:val="20"/>
              </w:rPr>
              <w:t>Similar device</w:t>
            </w:r>
          </w:p>
          <w:p>
            <w:pPr>
              <w:pStyle w:val="Normal"/>
              <w:tabs>
                <w:tab w:val="clear" w:pos="720"/>
                <w:tab w:val="left" w:pos="2340" w:leader="none"/>
              </w:tabs>
              <w:spacing w:lineRule="auto" w:line="240"/>
              <w:ind w:left="2160" w:hanging="360"/>
              <w:rPr>
                <w:sz w:val="20"/>
              </w:rPr>
            </w:pPr>
            <w:r>
              <w:rPr>
                <w:sz w:val="20"/>
              </w:rPr>
              <w:t>(b)</w:t>
              <w:tab/>
              <w:t>any weapon which will, or which may be readily converted to, expel a projectile by the action of an explosive or other propellant, and which has any barrel with a bore of more than one-half inch in diameter</w:t>
            </w:r>
          </w:p>
          <w:p>
            <w:pPr>
              <w:pStyle w:val="Normal"/>
              <w:tabs>
                <w:tab w:val="clear" w:pos="720"/>
                <w:tab w:val="left" w:pos="2340" w:leader="none"/>
              </w:tabs>
              <w:spacing w:lineRule="auto" w:line="240"/>
              <w:ind w:left="2160" w:hanging="360"/>
              <w:rPr>
                <w:sz w:val="20"/>
              </w:rPr>
            </w:pPr>
            <w:r>
              <w:rPr>
                <w:sz w:val="20"/>
              </w:rPr>
              <w:t>(c)</w:t>
              <w:tab/>
              <w:t xml:space="preserve">any combination or parts either designed or intended for use in converting any device into any destructive device described in the two immediately preceding examples, and from which a destructive device may be readily assembled. </w:t>
            </w:r>
          </w:p>
        </w:tc>
      </w:tr>
    </w:tbl>
    <w:p>
      <w:pPr>
        <w:pStyle w:val="Normal"/>
        <w:rPr>
          <w:rFonts w:ascii="Arial" w:hAnsi="Arial" w:cs="Arial"/>
          <w:sz w:val="24"/>
        </w:rPr>
      </w:pPr>
      <w:r>
        <w:br w:type="page"/>
      </w:r>
      <w:r>
        <w:rPr>
          <w:rFonts w:cs="Arial" w:ascii="Arial" w:hAnsi="Arial"/>
          <w:sz w:val="24"/>
        </w:rPr>
      </w:r>
    </w:p>
    <w:p>
      <w:pPr>
        <w:pStyle w:val="Normal"/>
        <w:rPr>
          <w:rFonts w:ascii="Arial" w:hAnsi="Arial" w:cs="Arial"/>
          <w:b/>
          <w:b/>
          <w:sz w:val="24"/>
        </w:rPr>
      </w:pPr>
      <w:r>
        <w:rPr>
          <w:rFonts w:cs="Arial" w:ascii="Arial" w:hAnsi="Arial"/>
          <w:b/>
          <w:sz w:val="24"/>
        </w:rPr>
        <w:t>FIREARMS INCIDENTS</w:t>
      </w:r>
    </w:p>
    <w:p>
      <w:pPr>
        <w:pStyle w:val="Normal"/>
        <w:rPr>
          <w:rFonts w:ascii="Arial" w:hAnsi="Arial" w:cs="Arial"/>
          <w:b/>
          <w:b/>
          <w:sz w:val="24"/>
        </w:rPr>
      </w:pPr>
      <w:r>
        <w:rPr>
          <w:rFonts w:cs="Arial" w:ascii="Arial" w:hAnsi="Arial"/>
          <w:b/>
          <w:sz w:val="24"/>
        </w:rPr>
      </w:r>
    </w:p>
    <w:p>
      <w:pPr>
        <w:pStyle w:val="Normal"/>
        <w:ind w:left="547" w:hanging="547"/>
        <w:rPr/>
      </w:pPr>
      <w:r>
        <w:rPr>
          <w:sz w:val="21"/>
        </w:rPr>
        <w:t>1.</w:t>
        <w:tab/>
        <w:t>Please indicate the number of students in your State who were found to have brought a firearm to school.  Include in your answer all infractions.</w:t>
      </w:r>
      <w:r>
        <w:rPr>
          <w:b/>
          <w:sz w:val="21"/>
        </w:rPr>
        <w:t xml:space="preserve">  </w:t>
      </w:r>
      <w:r>
        <w:rPr>
          <w:b/>
          <w:i/>
          <w:sz w:val="21"/>
        </w:rPr>
        <w:t>[Any student found to have brought a firearm (meeting the definition at 18 U.S.C. 921) to school should be reported as an infraction, even if the expulsion is shortened or no penalty is imposed.  Any incidents in which a student covered by the provisions of IDEA brings a firearm to school should also be included, even if it is determined that the incident is a manifestation of the student’s disability.  Modifications of the one-year expulsion requirement should also be reported in Question 2 of this report.]</w:t>
      </w:r>
    </w:p>
    <w:p>
      <w:pPr>
        <w:pStyle w:val="Normal"/>
        <w:ind w:left="540" w:hanging="540"/>
        <w:rPr>
          <w:b/>
          <w:b/>
          <w:i/>
          <w:i/>
          <w:sz w:val="21"/>
        </w:rPr>
      </w:pPr>
      <w:r>
        <w:rPr>
          <w:b/>
          <w:i/>
          <w:sz w:val="21"/>
        </w:rPr>
      </w:r>
    </w:p>
    <w:tbl>
      <w:tblPr>
        <w:tblW w:w="8740" w:type="dxa"/>
        <w:jc w:val="center"/>
        <w:tblInd w:w="0" w:type="dxa"/>
        <w:tblCellMar>
          <w:top w:w="0" w:type="dxa"/>
          <w:left w:w="108" w:type="dxa"/>
          <w:bottom w:w="0" w:type="dxa"/>
          <w:right w:w="108" w:type="dxa"/>
        </w:tblCellMar>
      </w:tblPr>
      <w:tblGrid>
        <w:gridCol w:w="2394"/>
        <w:gridCol w:w="1584"/>
        <w:gridCol w:w="1584"/>
        <w:gridCol w:w="1584"/>
        <w:gridCol w:w="1594"/>
      </w:tblGrid>
      <w:tr>
        <w:trPr/>
        <w:tc>
          <w:tcPr>
            <w:tcW w:w="2394" w:type="dxa"/>
            <w:tcBorders>
              <w:top w:val="double" w:sz="4" w:space="0" w:color="000000"/>
              <w:left w:val="double" w:sz="4" w:space="0" w:color="000000"/>
              <w:bottom w:val="double" w:sz="4" w:space="0" w:color="000000"/>
            </w:tcBorders>
          </w:tcPr>
          <w:p>
            <w:pPr>
              <w:pStyle w:val="Normal"/>
              <w:spacing w:before="120" w:after="120"/>
              <w:rPr>
                <w:sz w:val="20"/>
              </w:rPr>
            </w:pPr>
            <w:r>
              <w:rPr>
                <w:sz w:val="20"/>
              </w:rPr>
              <w:t>School Level</w:t>
            </w:r>
          </w:p>
        </w:tc>
        <w:tc>
          <w:tcPr>
            <w:tcW w:w="1584" w:type="dxa"/>
            <w:tcBorders>
              <w:top w:val="double" w:sz="4" w:space="0" w:color="000000"/>
              <w:left w:val="single" w:sz="12" w:space="0" w:color="000000"/>
              <w:bottom w:val="double" w:sz="4" w:space="0" w:color="000000"/>
            </w:tcBorders>
          </w:tcPr>
          <w:p>
            <w:pPr>
              <w:pStyle w:val="Normal"/>
              <w:spacing w:before="120" w:after="120"/>
              <w:jc w:val="center"/>
              <w:rPr>
                <w:sz w:val="20"/>
              </w:rPr>
            </w:pPr>
            <w:r>
              <w:rPr>
                <w:sz w:val="20"/>
              </w:rPr>
              <w:t>Handguns</w:t>
            </w:r>
          </w:p>
        </w:tc>
        <w:tc>
          <w:tcPr>
            <w:tcW w:w="1584" w:type="dxa"/>
            <w:tcBorders>
              <w:top w:val="double" w:sz="4" w:space="0" w:color="000000"/>
              <w:left w:val="single" w:sz="6" w:space="0" w:color="000000"/>
              <w:bottom w:val="double" w:sz="4" w:space="0" w:color="000000"/>
            </w:tcBorders>
          </w:tcPr>
          <w:p>
            <w:pPr>
              <w:pStyle w:val="Normal"/>
              <w:spacing w:before="120" w:after="120"/>
              <w:jc w:val="center"/>
              <w:rPr>
                <w:sz w:val="20"/>
              </w:rPr>
            </w:pPr>
            <w:r>
              <w:rPr>
                <w:sz w:val="20"/>
              </w:rPr>
              <w:t>Rifles/Shotguns</w:t>
            </w:r>
          </w:p>
        </w:tc>
        <w:tc>
          <w:tcPr>
            <w:tcW w:w="1584" w:type="dxa"/>
            <w:tcBorders>
              <w:top w:val="double" w:sz="4" w:space="0" w:color="000000"/>
              <w:left w:val="single" w:sz="6" w:space="0" w:color="000000"/>
              <w:bottom w:val="double" w:sz="4" w:space="0" w:color="000000"/>
            </w:tcBorders>
          </w:tcPr>
          <w:p>
            <w:pPr>
              <w:pStyle w:val="Normal"/>
              <w:spacing w:before="120" w:after="120"/>
              <w:jc w:val="center"/>
              <w:rPr>
                <w:sz w:val="20"/>
              </w:rPr>
            </w:pPr>
            <w:r>
              <w:rPr>
                <w:sz w:val="20"/>
              </w:rPr>
              <w:t>Other Firearms</w:t>
            </w:r>
          </w:p>
        </w:tc>
        <w:tc>
          <w:tcPr>
            <w:tcW w:w="1594" w:type="dxa"/>
            <w:tcBorders>
              <w:top w:val="double" w:sz="4" w:space="0" w:color="000000"/>
              <w:left w:val="single" w:sz="12" w:space="0" w:color="000000"/>
              <w:bottom w:val="double" w:sz="4" w:space="0" w:color="000000"/>
              <w:right w:val="double" w:sz="4" w:space="0" w:color="000000"/>
            </w:tcBorders>
          </w:tcPr>
          <w:p>
            <w:pPr>
              <w:pStyle w:val="Normal"/>
              <w:spacing w:before="120" w:after="120"/>
              <w:jc w:val="center"/>
              <w:rPr>
                <w:sz w:val="20"/>
              </w:rPr>
            </w:pPr>
            <w:r>
              <w:rPr>
                <w:sz w:val="20"/>
              </w:rPr>
              <w:t>Total</w:t>
            </w:r>
          </w:p>
        </w:tc>
      </w:tr>
      <w:tr>
        <w:trPr/>
        <w:tc>
          <w:tcPr>
            <w:tcW w:w="2394" w:type="dxa"/>
            <w:tcBorders>
              <w:left w:val="double" w:sz="4" w:space="0" w:color="000000"/>
              <w:bottom w:val="single" w:sz="6" w:space="0" w:color="000000"/>
            </w:tcBorders>
          </w:tcPr>
          <w:p>
            <w:pPr>
              <w:pStyle w:val="Normal"/>
              <w:spacing w:before="120" w:after="120"/>
              <w:rPr>
                <w:sz w:val="20"/>
              </w:rPr>
            </w:pPr>
            <w:r>
              <w:rPr>
                <w:sz w:val="20"/>
              </w:rPr>
              <w:t>Elementary School</w:t>
            </w:r>
          </w:p>
        </w:tc>
        <w:tc>
          <w:tcPr>
            <w:tcW w:w="1584" w:type="dxa"/>
            <w:tcBorders>
              <w:left w:val="single" w:sz="12" w:space="0" w:color="000000"/>
              <w:bottom w:val="single" w:sz="6" w:space="0" w:color="000000"/>
            </w:tcBorders>
          </w:tcPr>
          <w:p>
            <w:pPr>
              <w:pStyle w:val="Normal"/>
              <w:snapToGrid w:val="false"/>
              <w:spacing w:before="120" w:after="120"/>
              <w:rPr>
                <w:sz w:val="20"/>
              </w:rPr>
            </w:pPr>
            <w:r>
              <w:rPr>
                <w:sz w:val="20"/>
              </w:rPr>
            </w:r>
          </w:p>
        </w:tc>
        <w:tc>
          <w:tcPr>
            <w:tcW w:w="1584" w:type="dxa"/>
            <w:tcBorders>
              <w:left w:val="single" w:sz="6" w:space="0" w:color="000000"/>
              <w:bottom w:val="single" w:sz="6" w:space="0" w:color="000000"/>
            </w:tcBorders>
          </w:tcPr>
          <w:p>
            <w:pPr>
              <w:pStyle w:val="Normal"/>
              <w:snapToGrid w:val="false"/>
              <w:spacing w:before="120" w:after="120"/>
              <w:rPr>
                <w:sz w:val="20"/>
              </w:rPr>
            </w:pPr>
            <w:r>
              <w:rPr>
                <w:sz w:val="20"/>
              </w:rPr>
            </w:r>
          </w:p>
        </w:tc>
        <w:tc>
          <w:tcPr>
            <w:tcW w:w="1584" w:type="dxa"/>
            <w:tcBorders>
              <w:left w:val="single" w:sz="6" w:space="0" w:color="000000"/>
              <w:bottom w:val="single" w:sz="6" w:space="0" w:color="000000"/>
            </w:tcBorders>
          </w:tcPr>
          <w:p>
            <w:pPr>
              <w:pStyle w:val="Normal"/>
              <w:snapToGrid w:val="false"/>
              <w:spacing w:before="120" w:after="120"/>
              <w:rPr>
                <w:sz w:val="20"/>
              </w:rPr>
            </w:pPr>
            <w:r>
              <w:rPr>
                <w:sz w:val="20"/>
              </w:rPr>
            </w:r>
          </w:p>
        </w:tc>
        <w:tc>
          <w:tcPr>
            <w:tcW w:w="1594" w:type="dxa"/>
            <w:tcBorders>
              <w:left w:val="single" w:sz="12" w:space="0" w:color="000000"/>
              <w:bottom w:val="single" w:sz="6" w:space="0" w:color="000000"/>
              <w:right w:val="double" w:sz="4" w:space="0" w:color="000000"/>
            </w:tcBorders>
          </w:tcPr>
          <w:p>
            <w:pPr>
              <w:pStyle w:val="Normal"/>
              <w:snapToGrid w:val="false"/>
              <w:spacing w:before="120" w:after="120"/>
              <w:rPr>
                <w:sz w:val="20"/>
              </w:rPr>
            </w:pPr>
            <w:r>
              <w:rPr>
                <w:sz w:val="20"/>
              </w:rPr>
            </w:r>
          </w:p>
        </w:tc>
      </w:tr>
      <w:tr>
        <w:trPr/>
        <w:tc>
          <w:tcPr>
            <w:tcW w:w="2394" w:type="dxa"/>
            <w:tcBorders>
              <w:top w:val="single" w:sz="6" w:space="0" w:color="000000"/>
              <w:left w:val="double" w:sz="4" w:space="0" w:color="000000"/>
              <w:bottom w:val="single" w:sz="6" w:space="0" w:color="000000"/>
            </w:tcBorders>
          </w:tcPr>
          <w:p>
            <w:pPr>
              <w:pStyle w:val="Normal"/>
              <w:spacing w:before="120" w:after="120"/>
              <w:rPr>
                <w:sz w:val="20"/>
              </w:rPr>
            </w:pPr>
            <w:r>
              <w:rPr>
                <w:sz w:val="20"/>
              </w:rPr>
              <w:t>Junior High School</w:t>
            </w:r>
          </w:p>
        </w:tc>
        <w:tc>
          <w:tcPr>
            <w:tcW w:w="1584" w:type="dxa"/>
            <w:tcBorders>
              <w:top w:val="single" w:sz="6" w:space="0" w:color="000000"/>
              <w:left w:val="single" w:sz="12" w:space="0" w:color="000000"/>
              <w:bottom w:val="single" w:sz="6" w:space="0" w:color="000000"/>
            </w:tcBorders>
          </w:tcPr>
          <w:p>
            <w:pPr>
              <w:pStyle w:val="Normal"/>
              <w:snapToGrid w:val="false"/>
              <w:spacing w:before="120" w:after="120"/>
              <w:rPr>
                <w:sz w:val="20"/>
              </w:rPr>
            </w:pPr>
            <w:r>
              <w:rPr>
                <w:sz w:val="20"/>
              </w:rPr>
            </w:r>
          </w:p>
        </w:tc>
        <w:tc>
          <w:tcPr>
            <w:tcW w:w="1584" w:type="dxa"/>
            <w:tcBorders>
              <w:top w:val="single" w:sz="6" w:space="0" w:color="000000"/>
              <w:left w:val="single" w:sz="6" w:space="0" w:color="000000"/>
              <w:bottom w:val="single" w:sz="6" w:space="0" w:color="000000"/>
            </w:tcBorders>
          </w:tcPr>
          <w:p>
            <w:pPr>
              <w:pStyle w:val="Normal"/>
              <w:snapToGrid w:val="false"/>
              <w:spacing w:before="120" w:after="120"/>
              <w:rPr>
                <w:sz w:val="20"/>
              </w:rPr>
            </w:pPr>
            <w:r>
              <w:rPr>
                <w:sz w:val="20"/>
              </w:rPr>
            </w:r>
          </w:p>
        </w:tc>
        <w:tc>
          <w:tcPr>
            <w:tcW w:w="1584" w:type="dxa"/>
            <w:tcBorders>
              <w:top w:val="single" w:sz="6" w:space="0" w:color="000000"/>
              <w:left w:val="single" w:sz="6" w:space="0" w:color="000000"/>
              <w:bottom w:val="single" w:sz="6" w:space="0" w:color="000000"/>
            </w:tcBorders>
          </w:tcPr>
          <w:p>
            <w:pPr>
              <w:pStyle w:val="Normal"/>
              <w:snapToGrid w:val="false"/>
              <w:spacing w:before="120" w:after="120"/>
              <w:rPr>
                <w:sz w:val="20"/>
              </w:rPr>
            </w:pPr>
            <w:r>
              <w:rPr>
                <w:sz w:val="20"/>
              </w:rPr>
            </w:r>
          </w:p>
        </w:tc>
        <w:tc>
          <w:tcPr>
            <w:tcW w:w="1594" w:type="dxa"/>
            <w:tcBorders>
              <w:top w:val="single" w:sz="6" w:space="0" w:color="000000"/>
              <w:left w:val="single" w:sz="12" w:space="0" w:color="000000"/>
              <w:bottom w:val="single" w:sz="6" w:space="0" w:color="000000"/>
              <w:right w:val="double" w:sz="4" w:space="0" w:color="000000"/>
            </w:tcBorders>
          </w:tcPr>
          <w:p>
            <w:pPr>
              <w:pStyle w:val="Normal"/>
              <w:snapToGrid w:val="false"/>
              <w:spacing w:before="120" w:after="120"/>
              <w:rPr>
                <w:sz w:val="20"/>
              </w:rPr>
            </w:pPr>
            <w:r>
              <w:rPr>
                <w:sz w:val="20"/>
              </w:rPr>
            </w:r>
          </w:p>
        </w:tc>
      </w:tr>
      <w:tr>
        <w:trPr/>
        <w:tc>
          <w:tcPr>
            <w:tcW w:w="2394" w:type="dxa"/>
            <w:tcBorders>
              <w:top w:val="single" w:sz="6" w:space="0" w:color="000000"/>
              <w:left w:val="double" w:sz="4" w:space="0" w:color="000000"/>
            </w:tcBorders>
          </w:tcPr>
          <w:p>
            <w:pPr>
              <w:pStyle w:val="Normal"/>
              <w:spacing w:before="120" w:after="120"/>
              <w:rPr>
                <w:sz w:val="20"/>
              </w:rPr>
            </w:pPr>
            <w:r>
              <w:rPr>
                <w:sz w:val="20"/>
              </w:rPr>
              <w:t>Senior High School</w:t>
            </w:r>
          </w:p>
        </w:tc>
        <w:tc>
          <w:tcPr>
            <w:tcW w:w="1584" w:type="dxa"/>
            <w:tcBorders>
              <w:top w:val="single" w:sz="6" w:space="0" w:color="000000"/>
              <w:left w:val="single" w:sz="12" w:space="0" w:color="000000"/>
            </w:tcBorders>
          </w:tcPr>
          <w:p>
            <w:pPr>
              <w:pStyle w:val="SLFlLftSgl"/>
              <w:bidi w:val="0"/>
              <w:snapToGrid w:val="false"/>
              <w:spacing w:before="120" w:after="120"/>
              <w:rPr>
                <w:sz w:val="20"/>
              </w:rPr>
            </w:pPr>
            <w:r>
              <w:rPr>
                <w:sz w:val="20"/>
              </w:rPr>
            </w:r>
          </w:p>
        </w:tc>
        <w:tc>
          <w:tcPr>
            <w:tcW w:w="1584" w:type="dxa"/>
            <w:tcBorders>
              <w:top w:val="single" w:sz="6" w:space="0" w:color="000000"/>
              <w:left w:val="single" w:sz="6" w:space="0" w:color="000000"/>
            </w:tcBorders>
          </w:tcPr>
          <w:p>
            <w:pPr>
              <w:pStyle w:val="Normal"/>
              <w:snapToGrid w:val="false"/>
              <w:spacing w:before="120" w:after="120"/>
              <w:rPr>
                <w:sz w:val="20"/>
              </w:rPr>
            </w:pPr>
            <w:r>
              <w:rPr>
                <w:sz w:val="20"/>
              </w:rPr>
            </w:r>
          </w:p>
        </w:tc>
        <w:tc>
          <w:tcPr>
            <w:tcW w:w="1584" w:type="dxa"/>
            <w:tcBorders>
              <w:top w:val="single" w:sz="6" w:space="0" w:color="000000"/>
              <w:left w:val="single" w:sz="6" w:space="0" w:color="000000"/>
            </w:tcBorders>
          </w:tcPr>
          <w:p>
            <w:pPr>
              <w:pStyle w:val="Normal"/>
              <w:snapToGrid w:val="false"/>
              <w:spacing w:before="120" w:after="120"/>
              <w:rPr>
                <w:sz w:val="20"/>
              </w:rPr>
            </w:pPr>
            <w:r>
              <w:rPr>
                <w:sz w:val="20"/>
              </w:rPr>
            </w:r>
          </w:p>
        </w:tc>
        <w:tc>
          <w:tcPr>
            <w:tcW w:w="1594" w:type="dxa"/>
            <w:tcBorders>
              <w:top w:val="single" w:sz="6" w:space="0" w:color="000000"/>
              <w:left w:val="single" w:sz="12" w:space="0" w:color="000000"/>
              <w:right w:val="double" w:sz="4" w:space="0" w:color="000000"/>
            </w:tcBorders>
          </w:tcPr>
          <w:p>
            <w:pPr>
              <w:pStyle w:val="Normal"/>
              <w:snapToGrid w:val="false"/>
              <w:spacing w:before="120" w:after="120"/>
              <w:rPr>
                <w:sz w:val="20"/>
              </w:rPr>
            </w:pPr>
            <w:r>
              <w:rPr>
                <w:sz w:val="20"/>
              </w:rPr>
            </w:r>
          </w:p>
        </w:tc>
      </w:tr>
      <w:tr>
        <w:trPr/>
        <w:tc>
          <w:tcPr>
            <w:tcW w:w="2394" w:type="dxa"/>
            <w:tcBorders>
              <w:top w:val="single" w:sz="12" w:space="0" w:color="000000"/>
              <w:left w:val="double" w:sz="4" w:space="0" w:color="000000"/>
              <w:bottom w:val="double" w:sz="4" w:space="0" w:color="000000"/>
            </w:tcBorders>
          </w:tcPr>
          <w:p>
            <w:pPr>
              <w:pStyle w:val="SLFlLftSgl"/>
              <w:bidi w:val="0"/>
              <w:spacing w:before="120" w:after="120"/>
              <w:rPr>
                <w:sz w:val="20"/>
              </w:rPr>
            </w:pPr>
            <w:r>
              <w:rPr>
                <w:sz w:val="20"/>
              </w:rPr>
              <w:t>Total</w:t>
            </w:r>
          </w:p>
        </w:tc>
        <w:tc>
          <w:tcPr>
            <w:tcW w:w="1584" w:type="dxa"/>
            <w:tcBorders>
              <w:top w:val="single" w:sz="12" w:space="0" w:color="000000"/>
              <w:left w:val="single" w:sz="12" w:space="0" w:color="000000"/>
              <w:bottom w:val="double" w:sz="4" w:space="0" w:color="000000"/>
            </w:tcBorders>
          </w:tcPr>
          <w:p>
            <w:pPr>
              <w:pStyle w:val="Normal"/>
              <w:snapToGrid w:val="false"/>
              <w:spacing w:before="120" w:after="120"/>
              <w:rPr>
                <w:sz w:val="20"/>
              </w:rPr>
            </w:pPr>
            <w:r>
              <w:rPr>
                <w:sz w:val="20"/>
              </w:rPr>
            </w:r>
          </w:p>
        </w:tc>
        <w:tc>
          <w:tcPr>
            <w:tcW w:w="1584" w:type="dxa"/>
            <w:tcBorders>
              <w:top w:val="single" w:sz="12" w:space="0" w:color="000000"/>
              <w:left w:val="single" w:sz="6" w:space="0" w:color="000000"/>
              <w:bottom w:val="double" w:sz="4" w:space="0" w:color="000000"/>
            </w:tcBorders>
          </w:tcPr>
          <w:p>
            <w:pPr>
              <w:pStyle w:val="Normal"/>
              <w:snapToGrid w:val="false"/>
              <w:spacing w:before="120" w:after="120"/>
              <w:rPr>
                <w:sz w:val="20"/>
              </w:rPr>
            </w:pPr>
            <w:r>
              <w:rPr>
                <w:sz w:val="20"/>
              </w:rPr>
            </w:r>
          </w:p>
        </w:tc>
        <w:tc>
          <w:tcPr>
            <w:tcW w:w="1584" w:type="dxa"/>
            <w:tcBorders>
              <w:top w:val="single" w:sz="12" w:space="0" w:color="000000"/>
              <w:left w:val="single" w:sz="6" w:space="0" w:color="000000"/>
              <w:bottom w:val="double" w:sz="4" w:space="0" w:color="000000"/>
            </w:tcBorders>
          </w:tcPr>
          <w:p>
            <w:pPr>
              <w:pStyle w:val="Normal"/>
              <w:snapToGrid w:val="false"/>
              <w:spacing w:before="120" w:after="120"/>
              <w:rPr>
                <w:sz w:val="20"/>
              </w:rPr>
            </w:pPr>
            <w:r>
              <w:rPr>
                <w:sz w:val="20"/>
              </w:rPr>
            </w:r>
          </w:p>
        </w:tc>
        <w:tc>
          <w:tcPr>
            <w:tcW w:w="1594" w:type="dxa"/>
            <w:tcBorders>
              <w:top w:val="single" w:sz="12" w:space="0" w:color="000000"/>
              <w:left w:val="single" w:sz="12" w:space="0" w:color="000000"/>
              <w:bottom w:val="double" w:sz="4" w:space="0" w:color="000000"/>
              <w:right w:val="double" w:sz="4" w:space="0" w:color="000000"/>
            </w:tcBorders>
          </w:tcPr>
          <w:p>
            <w:pPr>
              <w:pStyle w:val="Normal"/>
              <w:snapToGrid w:val="false"/>
              <w:spacing w:before="120" w:after="120"/>
              <w:rPr>
                <w:sz w:val="20"/>
              </w:rPr>
            </w:pPr>
            <w:r>
              <w:rPr>
                <w:sz w:val="20"/>
              </w:rPr>
            </w:r>
          </w:p>
        </w:tc>
      </w:tr>
    </w:tbl>
    <w:p>
      <w:pPr>
        <w:pStyle w:val="Normal"/>
        <w:ind w:left="540" w:hanging="540"/>
        <w:rPr>
          <w:sz w:val="20"/>
        </w:rPr>
      </w:pPr>
      <w:r>
        <w:rPr>
          <w:sz w:val="20"/>
        </w:rPr>
      </w:r>
    </w:p>
    <w:p>
      <w:pPr>
        <w:pStyle w:val="Normal"/>
        <w:ind w:left="540" w:hanging="540"/>
        <w:rPr>
          <w:sz w:val="20"/>
        </w:rPr>
      </w:pPr>
      <w:r>
        <w:rPr>
          <w:sz w:val="20"/>
        </w:rPr>
      </w:r>
    </w:p>
    <w:p>
      <w:pPr>
        <w:pStyle w:val="Normal"/>
        <w:ind w:left="540" w:hanging="540"/>
        <w:rPr>
          <w:b/>
          <w:b/>
          <w:sz w:val="21"/>
        </w:rPr>
      </w:pPr>
      <w:r>
        <w:rPr>
          <w:sz w:val="21"/>
        </w:rPr>
        <w:t>2.</w:t>
        <w:tab/>
        <w:t>How many of the incidences</w:t>
      </w:r>
      <w:r>
        <w:rPr>
          <w:b/>
          <w:sz w:val="21"/>
        </w:rPr>
        <w:t xml:space="preserve"> </w:t>
      </w:r>
      <w:r>
        <w:rPr>
          <w:sz w:val="21"/>
        </w:rPr>
        <w:t xml:space="preserve">reported in item #1 were shortened to a term of less than one year by the chief administering officer of an LEA under the case-by-case modification provisions of Section 14601(b)(1) of the GFSA?  </w:t>
      </w:r>
      <w:r>
        <w:rPr>
          <w:b/>
          <w:i/>
          <w:sz w:val="21"/>
        </w:rPr>
        <w:t>[Include in your response to this question only cases where the expulsion was shortened or no penalty was imposed.  Do not include modifications other than those that shortened the term of the expulsion to less than one year.]</w:t>
      </w:r>
    </w:p>
    <w:p>
      <w:pPr>
        <w:pStyle w:val="Normal"/>
        <w:ind w:left="540" w:hanging="540"/>
        <w:rPr/>
      </w:pPr>
      <w:r>
        <w:rPr/>
        <w:tab/>
      </w:r>
    </w:p>
    <w:tbl>
      <w:tblPr>
        <w:tblW w:w="5244" w:type="dxa"/>
        <w:jc w:val="center"/>
        <w:tblInd w:w="0" w:type="dxa"/>
        <w:tblCellMar>
          <w:top w:w="0" w:type="dxa"/>
          <w:left w:w="108" w:type="dxa"/>
          <w:bottom w:w="0" w:type="dxa"/>
          <w:right w:w="108" w:type="dxa"/>
        </w:tblCellMar>
      </w:tblPr>
      <w:tblGrid>
        <w:gridCol w:w="3697"/>
        <w:gridCol w:w="1547"/>
      </w:tblGrid>
      <w:tr>
        <w:trPr/>
        <w:tc>
          <w:tcPr>
            <w:tcW w:w="3697" w:type="dxa"/>
            <w:tcBorders/>
          </w:tcPr>
          <w:p>
            <w:pPr>
              <w:pStyle w:val="SLFlLftSgl"/>
              <w:bidi w:val="0"/>
              <w:spacing w:before="120" w:after="120"/>
              <w:rPr/>
            </w:pPr>
            <w:r>
              <w:rPr/>
              <w:t>Number of modifications</w:t>
            </w:r>
            <w:r>
              <w:rPr>
                <w:b/>
              </w:rPr>
              <w:t>:</w:t>
            </w:r>
          </w:p>
        </w:tc>
        <w:tc>
          <w:tcPr>
            <w:tcW w:w="1547"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bl>
    <w:p>
      <w:pPr>
        <w:pStyle w:val="Normal"/>
        <w:ind w:left="540" w:hanging="540"/>
        <w:rPr/>
      </w:pPr>
      <w:r>
        <w:rPr/>
      </w:r>
    </w:p>
    <w:p>
      <w:pPr>
        <w:pStyle w:val="Normal"/>
        <w:ind w:left="540" w:hanging="540"/>
        <w:rPr/>
      </w:pPr>
      <w:r>
        <w:rPr/>
      </w:r>
    </w:p>
    <w:p>
      <w:pPr>
        <w:pStyle w:val="Normal"/>
        <w:numPr>
          <w:ilvl w:val="0"/>
          <w:numId w:val="14"/>
        </w:numPr>
        <w:rPr/>
      </w:pPr>
      <w:r>
        <w:rPr>
          <w:sz w:val="21"/>
        </w:rPr>
        <w:t xml:space="preserve">How many of the modifications reported in item #2 were for students who are </w:t>
      </w:r>
      <w:r>
        <w:rPr>
          <w:i/>
          <w:sz w:val="21"/>
          <w:u w:val="single"/>
        </w:rPr>
        <w:t>not</w:t>
      </w:r>
      <w:r>
        <w:rPr>
          <w:sz w:val="21"/>
        </w:rPr>
        <w:t xml:space="preserve"> students with disabilities as defined in Section 602(a)(1) of the IDEA?</w:t>
      </w:r>
    </w:p>
    <w:p>
      <w:pPr>
        <w:pStyle w:val="Normal"/>
        <w:rPr>
          <w:sz w:val="21"/>
        </w:rPr>
      </w:pPr>
      <w:r>
        <w:rPr>
          <w:sz w:val="21"/>
        </w:rPr>
      </w:r>
    </w:p>
    <w:tbl>
      <w:tblPr>
        <w:tblW w:w="5244" w:type="dxa"/>
        <w:jc w:val="center"/>
        <w:tblInd w:w="0" w:type="dxa"/>
        <w:tblCellMar>
          <w:top w:w="0" w:type="dxa"/>
          <w:left w:w="108" w:type="dxa"/>
          <w:bottom w:w="0" w:type="dxa"/>
          <w:right w:w="108" w:type="dxa"/>
        </w:tblCellMar>
      </w:tblPr>
      <w:tblGrid>
        <w:gridCol w:w="3697"/>
        <w:gridCol w:w="1547"/>
      </w:tblGrid>
      <w:tr>
        <w:trPr/>
        <w:tc>
          <w:tcPr>
            <w:tcW w:w="3697" w:type="dxa"/>
            <w:tcBorders/>
          </w:tcPr>
          <w:p>
            <w:pPr>
              <w:pStyle w:val="SLFlLftSgl"/>
              <w:bidi w:val="0"/>
              <w:spacing w:before="120" w:after="120"/>
              <w:rPr/>
            </w:pPr>
            <w:r>
              <w:rPr/>
              <w:t>Number of modifications in #2, NOT disabled:</w:t>
            </w:r>
          </w:p>
        </w:tc>
        <w:tc>
          <w:tcPr>
            <w:tcW w:w="1547"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bl>
    <w:p>
      <w:pPr>
        <w:pStyle w:val="Normal"/>
        <w:ind w:left="540" w:hanging="540"/>
        <w:rPr/>
      </w:pPr>
      <w:r>
        <w:rPr/>
      </w:r>
    </w:p>
    <w:p>
      <w:pPr>
        <w:pStyle w:val="Normal"/>
        <w:spacing w:before="60" w:after="60"/>
        <w:ind w:left="540" w:hanging="540"/>
        <w:rPr/>
      </w:pPr>
      <w:r>
        <w:rPr/>
        <w:tab/>
      </w:r>
      <w:r>
        <w:rPr>
          <w:i/>
          <w:sz w:val="21"/>
        </w:rPr>
        <w:t>[The GFSA explicitly states that the Act must be construed in a manner consistent with the Individuals with Disabilities Education Act (IDEA).  Compliance with the GFSA can be achieved consistent with the IDEA as long as discipline of such students is determined on a case-by-case basis under the GFSA provision that permits modification of the expulsion requirement on a case-by-case basis.  A student with a disability who brings a firearm to school may be removed from school for ten school days or less, and in accordance with State law, placed in an interim alternative educational setting that is determined by the student’s individualized education program team, for up to 45 calendar days.  If the student’s parents initiate due process proceedings under the IDEA, the student must remain in that interim alternative educational setting during authorized review proceedings, unless the parents and school district can agree on a different placement.  Before an expulsion can occur, the IDEA requires a determination by a group of persons knowledgeable about the student on whether the bringing of a firearm to school was a manifestation of the student’s disability.  A student with a disability may be expelled only if this group of persons determines that the bringing of a firearm to school was not a manifestation of the student’s disability, and the school follows applicable IDEA procedural safeguards before the expulsion occurs.  Under IDEA, students with disabilities who are expelled in accordance with these conditions must continue to receive educational services during the expulsion period.  Under Section 602 (a)(1) of the IDEA, the term “children with disabilities” is defined as:</w:t>
      </w:r>
    </w:p>
    <w:p>
      <w:pPr>
        <w:pStyle w:val="Normal"/>
        <w:spacing w:before="60" w:after="60"/>
        <w:ind w:hanging="540"/>
        <w:rPr>
          <w:i/>
          <w:i/>
          <w:sz w:val="21"/>
        </w:rPr>
      </w:pPr>
      <w:r>
        <w:rPr>
          <w:i/>
          <w:sz w:val="21"/>
        </w:rPr>
        <w:tab/>
        <w:tab/>
        <w:tab/>
        <w:t>children --</w:t>
      </w:r>
    </w:p>
    <w:p>
      <w:pPr>
        <w:pStyle w:val="BodyTextIndent3"/>
        <w:rPr>
          <w:sz w:val="21"/>
        </w:rPr>
      </w:pPr>
      <w:r>
        <w:rPr>
          <w:sz w:val="21"/>
        </w:rPr>
        <w:tab/>
        <w:t>(i) with mental retardation, hearing impairments including deafness, speech or language impairments, visual impairments, including blindness, serious emotional disturbance, orthopedic impairments, autism, traumatic brain injury, other health impairments, or specific learning disabilities; and</w:t>
      </w:r>
    </w:p>
    <w:p>
      <w:pPr>
        <w:pStyle w:val="Normal"/>
        <w:spacing w:before="60" w:after="60"/>
        <w:ind w:left="2160" w:hanging="2160"/>
        <w:rPr>
          <w:sz w:val="21"/>
        </w:rPr>
      </w:pPr>
      <w:r>
        <w:rPr>
          <w:i/>
          <w:sz w:val="21"/>
        </w:rPr>
        <w:tab/>
        <w:t>(ii) who, by reason thereof, need special education and related services.]</w:t>
      </w:r>
    </w:p>
    <w:p>
      <w:pPr>
        <w:pStyle w:val="Normal"/>
        <w:ind w:left="2160" w:hanging="2160"/>
        <w:rPr>
          <w:sz w:val="21"/>
        </w:rPr>
      </w:pPr>
      <w:r>
        <w:rPr>
          <w:sz w:val="21"/>
        </w:rPr>
      </w:r>
    </w:p>
    <w:p>
      <w:pPr>
        <w:pStyle w:val="Normal"/>
        <w:ind w:left="540" w:hanging="540"/>
        <w:rPr/>
      </w:pPr>
      <w:r>
        <w:rPr>
          <w:sz w:val="21"/>
        </w:rPr>
        <w:t>4.</w:t>
        <w:tab/>
        <w:t>How many of the incidences</w:t>
      </w:r>
      <w:r>
        <w:rPr>
          <w:b/>
          <w:sz w:val="21"/>
        </w:rPr>
        <w:t xml:space="preserve"> </w:t>
      </w:r>
      <w:r>
        <w:rPr>
          <w:sz w:val="21"/>
        </w:rPr>
        <w:t xml:space="preserve">reported in </w:t>
      </w:r>
      <w:r>
        <w:rPr>
          <w:sz w:val="21"/>
          <w:u w:val="single"/>
        </w:rPr>
        <w:t>item #1</w:t>
      </w:r>
      <w:r>
        <w:rPr>
          <w:sz w:val="21"/>
        </w:rPr>
        <w:t xml:space="preserve"> resulted in a referral of the student to an alternative school or program?</w:t>
      </w:r>
    </w:p>
    <w:p>
      <w:pPr>
        <w:pStyle w:val="Normal"/>
        <w:rPr>
          <w:sz w:val="21"/>
        </w:rPr>
      </w:pPr>
      <w:r>
        <w:rPr>
          <w:sz w:val="21"/>
        </w:rPr>
      </w:r>
    </w:p>
    <w:tbl>
      <w:tblPr>
        <w:tblW w:w="6524" w:type="dxa"/>
        <w:jc w:val="center"/>
        <w:tblInd w:w="0" w:type="dxa"/>
        <w:tblCellMar>
          <w:top w:w="0" w:type="dxa"/>
          <w:left w:w="108" w:type="dxa"/>
          <w:bottom w:w="0" w:type="dxa"/>
          <w:right w:w="108" w:type="dxa"/>
        </w:tblCellMar>
      </w:tblPr>
      <w:tblGrid>
        <w:gridCol w:w="4977"/>
        <w:gridCol w:w="1547"/>
      </w:tblGrid>
      <w:tr>
        <w:trPr/>
        <w:tc>
          <w:tcPr>
            <w:tcW w:w="4977" w:type="dxa"/>
            <w:tcBorders/>
          </w:tcPr>
          <w:p>
            <w:pPr>
              <w:pStyle w:val="Normal"/>
              <w:spacing w:before="120" w:after="120"/>
              <w:jc w:val="left"/>
              <w:rPr/>
            </w:pPr>
            <w:r>
              <w:rPr/>
              <w:t xml:space="preserve">Number of students in </w:t>
            </w:r>
            <w:r>
              <w:rPr>
                <w:u w:val="single"/>
              </w:rPr>
              <w:t>item #1</w:t>
            </w:r>
            <w:r>
              <w:rPr/>
              <w:t xml:space="preserve"> referred to an alternative placement:</w:t>
            </w:r>
          </w:p>
        </w:tc>
        <w:tc>
          <w:tcPr>
            <w:tcW w:w="1547"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bl>
    <w:p>
      <w:pPr>
        <w:pStyle w:val="Normal"/>
        <w:ind w:left="540" w:hanging="540"/>
        <w:rPr/>
      </w:pPr>
      <w:r>
        <w:rPr/>
      </w:r>
    </w:p>
    <w:p>
      <w:pPr>
        <w:pStyle w:val="Normal"/>
        <w:ind w:left="540" w:hanging="540"/>
        <w:rPr/>
      </w:pPr>
      <w:r>
        <w:rPr/>
      </w:r>
    </w:p>
    <w:p>
      <w:pPr>
        <w:pStyle w:val="Heading8"/>
        <w:rPr>
          <w:sz w:val="24"/>
        </w:rPr>
      </w:pPr>
      <w:r>
        <w:rPr>
          <w:sz w:val="24"/>
        </w:rPr>
        <w:t>LEA COMPLIANCE</w:t>
      </w:r>
    </w:p>
    <w:p>
      <w:pPr>
        <w:pStyle w:val="Normal"/>
        <w:ind w:left="540" w:hanging="540"/>
        <w:rPr>
          <w:sz w:val="24"/>
        </w:rPr>
      </w:pPr>
      <w:r>
        <w:rPr>
          <w:sz w:val="24"/>
        </w:rPr>
      </w:r>
    </w:p>
    <w:p>
      <w:pPr>
        <w:pStyle w:val="Normal"/>
        <w:ind w:left="540" w:hanging="540"/>
        <w:rPr>
          <w:sz w:val="21"/>
        </w:rPr>
      </w:pPr>
      <w:r>
        <w:rPr>
          <w:sz w:val="21"/>
        </w:rPr>
        <w:t>5.</w:t>
        <w:tab/>
        <w:t xml:space="preserve">List the name and address of each LEA that has not provided an assurance that it is in compliance with the State law that requires that a student who brings a firearm to school be expelled for one year.  </w:t>
      </w:r>
      <w:r>
        <w:rPr>
          <w:i/>
          <w:sz w:val="21"/>
        </w:rPr>
        <w:t>(If all LEAs have provided the necessary assurance, please indicate “none” in response to this item.)</w:t>
      </w:r>
    </w:p>
    <w:p>
      <w:pPr>
        <w:pStyle w:val="Normal"/>
        <w:ind w:left="540" w:hanging="540"/>
        <w:rPr>
          <w:sz w:val="21"/>
        </w:rPr>
      </w:pPr>
      <w:r>
        <w:rPr>
          <w:sz w:val="21"/>
        </w:rPr>
      </w:r>
    </w:p>
    <w:p>
      <w:pPr>
        <w:pStyle w:val="Normal"/>
        <w:spacing w:lineRule="auto" w:line="360"/>
        <w:ind w:left="547" w:hanging="547"/>
        <w:rPr/>
      </w:pPr>
      <w:r>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47" w:hanging="547"/>
        <w:rPr/>
      </w:pPr>
      <w:r>
        <w:rPr/>
        <w:tab/>
        <w:t>(Attach a separate sheet if more space is required to list LEAs.)</w:t>
      </w:r>
    </w:p>
    <w:p>
      <w:pPr>
        <w:pStyle w:val="Normal"/>
        <w:ind w:left="540" w:hanging="540"/>
        <w:rPr>
          <w:sz w:val="21"/>
        </w:rPr>
      </w:pPr>
      <w:r>
        <w:rPr>
          <w:sz w:val="21"/>
        </w:rPr>
      </w:r>
    </w:p>
    <w:p>
      <w:pPr>
        <w:pStyle w:val="Normal"/>
        <w:keepNext w:val="true"/>
        <w:keepLines/>
        <w:ind w:left="540" w:hanging="540"/>
        <w:rPr>
          <w:sz w:val="21"/>
        </w:rPr>
      </w:pPr>
      <w:r>
        <w:rPr>
          <w:sz w:val="21"/>
        </w:rPr>
        <w:t>6.</w:t>
        <w:tab/>
        <w:t xml:space="preserve">List the name and address of each LEA that has not provided an assurance that it is in compliance with the requirement in Section 14602 that an LEA receiving ESEA funds have in place a policy requiring referral to the criminal justice or juvenile delinquency system of any student who brings a firearm to a school.  </w:t>
      </w:r>
      <w:r>
        <w:rPr>
          <w:i/>
          <w:sz w:val="21"/>
        </w:rPr>
        <w:t>(If all LEAs have provided the necessary assurance, please indicate “none” in response to this item.)</w:t>
      </w:r>
    </w:p>
    <w:p>
      <w:pPr>
        <w:pStyle w:val="Normal"/>
        <w:keepNext w:val="true"/>
        <w:keepLines/>
        <w:ind w:left="540" w:hanging="540"/>
        <w:rPr>
          <w:sz w:val="21"/>
        </w:rPr>
      </w:pPr>
      <w:r>
        <w:rPr>
          <w:sz w:val="21"/>
        </w:rPr>
      </w:r>
    </w:p>
    <w:p>
      <w:pPr>
        <w:pStyle w:val="Normal"/>
        <w:keepNext w:val="true"/>
        <w:keepLines/>
        <w:spacing w:lineRule="auto" w:line="360"/>
        <w:ind w:left="547" w:hanging="547"/>
        <w:rPr/>
      </w:pPr>
      <w:r>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40" w:hanging="540"/>
        <w:rPr/>
      </w:pPr>
      <w:r>
        <w:rPr/>
        <w:tab/>
        <w:t>(Attach a separate sheet if more space is required to list LEAs.)</w:t>
      </w:r>
    </w:p>
    <w:p>
      <w:pPr>
        <w:pStyle w:val="Normal"/>
        <w:ind w:left="540" w:hanging="540"/>
        <w:rPr/>
      </w:pPr>
      <w:r>
        <w:rPr/>
      </w:r>
    </w:p>
    <w:p>
      <w:pPr>
        <w:pStyle w:val="Normal"/>
        <w:ind w:left="540" w:hanging="540"/>
        <w:rPr/>
      </w:pPr>
      <w:r>
        <w:rPr/>
      </w:r>
    </w:p>
    <w:p>
      <w:pPr>
        <w:pStyle w:val="Normal"/>
        <w:ind w:left="540" w:hanging="540"/>
        <w:rPr/>
      </w:pPr>
      <w:r>
        <w:rPr/>
        <w:t>7. A.</w:t>
        <w:tab/>
        <w:t>Please indicate the percentage of LEAs that submitted a GFSA report to the State in response to this annual data collection.</w:t>
      </w:r>
    </w:p>
    <w:p>
      <w:pPr>
        <w:pStyle w:val="Normal"/>
        <w:rPr/>
      </w:pPr>
      <w:r>
        <w:rPr/>
      </w:r>
    </w:p>
    <w:tbl>
      <w:tblPr>
        <w:tblW w:w="6524" w:type="dxa"/>
        <w:jc w:val="center"/>
        <w:tblInd w:w="0" w:type="dxa"/>
        <w:tblCellMar>
          <w:top w:w="0" w:type="dxa"/>
          <w:left w:w="108" w:type="dxa"/>
          <w:bottom w:w="0" w:type="dxa"/>
          <w:right w:w="108" w:type="dxa"/>
        </w:tblCellMar>
      </w:tblPr>
      <w:tblGrid>
        <w:gridCol w:w="4977"/>
        <w:gridCol w:w="1547"/>
      </w:tblGrid>
      <w:tr>
        <w:trPr/>
        <w:tc>
          <w:tcPr>
            <w:tcW w:w="4977" w:type="dxa"/>
            <w:tcBorders/>
          </w:tcPr>
          <w:p>
            <w:pPr>
              <w:pStyle w:val="Normal"/>
              <w:spacing w:before="120" w:after="120"/>
              <w:jc w:val="left"/>
              <w:rPr/>
            </w:pPr>
            <w:r>
              <w:rPr/>
              <w:t>Percentage of LEAs that submitted a GFSA report to the State:</w:t>
            </w:r>
          </w:p>
        </w:tc>
        <w:tc>
          <w:tcPr>
            <w:tcW w:w="1547"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p>
            <w:pPr>
              <w:pStyle w:val="Normal"/>
              <w:rPr/>
            </w:pPr>
            <w:r>
              <w:rPr/>
              <w:t xml:space="preserve">                  </w:t>
            </w:r>
            <w:r>
              <w:rPr/>
              <w:t>%</w:t>
            </w:r>
          </w:p>
        </w:tc>
      </w:tr>
    </w:tbl>
    <w:p>
      <w:pPr>
        <w:pStyle w:val="Normal"/>
        <w:rPr/>
      </w:pPr>
      <w:r>
        <w:rPr/>
      </w:r>
    </w:p>
    <w:p>
      <w:pPr>
        <w:pStyle w:val="Normal"/>
        <w:numPr>
          <w:ilvl w:val="0"/>
          <w:numId w:val="5"/>
        </w:numPr>
        <w:rPr/>
      </w:pPr>
      <w:r>
        <w:rPr/>
        <w:t>Of those LEAs, what percentage had reported one or more students for an offense under the GFSA related to firearms (as defined by Title 18 U.S.C.  921)?</w:t>
      </w:r>
    </w:p>
    <w:p>
      <w:pPr>
        <w:pStyle w:val="Normal"/>
        <w:rPr/>
      </w:pPr>
      <w:r>
        <w:rPr/>
      </w:r>
    </w:p>
    <w:p>
      <w:pPr>
        <w:pStyle w:val="Normal"/>
        <w:rPr/>
      </w:pPr>
      <w:r>
        <w:rPr/>
      </w:r>
    </w:p>
    <w:tbl>
      <w:tblPr>
        <w:tblW w:w="6524" w:type="dxa"/>
        <w:jc w:val="center"/>
        <w:tblInd w:w="0" w:type="dxa"/>
        <w:tblCellMar>
          <w:top w:w="0" w:type="dxa"/>
          <w:left w:w="108" w:type="dxa"/>
          <w:bottom w:w="0" w:type="dxa"/>
          <w:right w:w="108" w:type="dxa"/>
        </w:tblCellMar>
      </w:tblPr>
      <w:tblGrid>
        <w:gridCol w:w="4977"/>
        <w:gridCol w:w="1547"/>
      </w:tblGrid>
      <w:tr>
        <w:trPr/>
        <w:tc>
          <w:tcPr>
            <w:tcW w:w="4977" w:type="dxa"/>
            <w:tcBorders/>
          </w:tcPr>
          <w:p>
            <w:pPr>
              <w:pStyle w:val="Normal"/>
              <w:spacing w:before="120" w:after="120"/>
              <w:jc w:val="left"/>
              <w:rPr/>
            </w:pPr>
            <w:r>
              <w:rPr/>
              <w:t>Percentage of LEAs that reported students for a firearm offense:</w:t>
            </w:r>
          </w:p>
        </w:tc>
        <w:tc>
          <w:tcPr>
            <w:tcW w:w="1547"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p>
            <w:pPr>
              <w:pStyle w:val="Normal"/>
              <w:rPr/>
            </w:pPr>
            <w:r>
              <w:rPr/>
              <w:t xml:space="preserve">                  </w:t>
            </w:r>
            <w:r>
              <w:rPr/>
              <w:t>%</w:t>
            </w:r>
          </w:p>
        </w:tc>
      </w:tr>
    </w:tbl>
    <w:p>
      <w:pPr>
        <w:pStyle w:val="Normal"/>
        <w:rPr/>
      </w:pPr>
      <w:r>
        <w:rPr/>
      </w:r>
    </w:p>
    <w:p>
      <w:pPr>
        <w:pStyle w:val="Normal"/>
        <w:rPr/>
      </w:pPr>
      <w:r>
        <w:rPr/>
      </w:r>
    </w:p>
    <w:p>
      <w:pPr>
        <w:pStyle w:val="Normal"/>
        <w:keepNext w:val="true"/>
        <w:keepLines/>
        <w:numPr>
          <w:ilvl w:val="0"/>
          <w:numId w:val="3"/>
        </w:numPr>
        <w:rPr/>
      </w:pPr>
      <w:r>
        <w:rPr/>
        <w:t>If applicable, please provide information that explains any circumstances affecting the quality of data submitted to us.  What information can the State share with us that will help us to more accurately interpret the data submitted on this GFSA report form (e.g., fewer than 100% LEAs responded to the State; figures reported included all weapons, not only firearms)?</w:t>
      </w:r>
    </w:p>
    <w:p>
      <w:pPr>
        <w:pStyle w:val="Normal"/>
        <w:keepNext w:val="true"/>
        <w:keepLines/>
        <w:spacing w:lineRule="auto" w:line="360"/>
        <w:ind w:left="547" w:hanging="7"/>
        <w:rPr/>
      </w:pPr>
      <w: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r>
    </w:p>
    <w:p>
      <w:pPr>
        <w:pStyle w:val="Normal"/>
        <w:rPr/>
      </w:pPr>
      <w:r>
        <w:rPr/>
      </w:r>
      <w:r>
        <w:br w:type="page"/>
      </w:r>
    </w:p>
    <w:p>
      <w:pPr>
        <w:pStyle w:val="SLFlLftSgl"/>
        <w:bidi w:val="0"/>
        <w:rPr>
          <w:rFonts w:ascii="Arial" w:hAnsi="Arial" w:cs="Arial"/>
          <w:b/>
          <w:b/>
          <w:sz w:val="24"/>
        </w:rPr>
      </w:pPr>
      <w:r>
        <w:rPr>
          <w:rFonts w:cs="Arial" w:ascii="Arial" w:hAnsi="Arial"/>
          <w:b/>
          <w:sz w:val="24"/>
        </w:rPr>
        <w:t>STATE COMPLIANCE WITH GFSA</w:t>
      </w:r>
    </w:p>
    <w:p>
      <w:pPr>
        <w:pStyle w:val="Normal"/>
        <w:rPr>
          <w:rFonts w:ascii="Arial" w:hAnsi="Arial" w:cs="Arial"/>
          <w:b/>
          <w:b/>
          <w:sz w:val="24"/>
        </w:rPr>
      </w:pPr>
      <w:r>
        <w:rPr>
          <w:rFonts w:cs="Arial" w:ascii="Arial" w:hAnsi="Arial"/>
          <w:b/>
          <w:sz w:val="24"/>
        </w:rPr>
      </w:r>
    </w:p>
    <w:p>
      <w:pPr>
        <w:pStyle w:val="Normal"/>
        <w:numPr>
          <w:ilvl w:val="0"/>
          <w:numId w:val="3"/>
        </w:numPr>
        <w:rPr/>
      </w:pPr>
      <w:r>
        <w:rPr/>
        <w:t xml:space="preserve">Please indicate whether your State law related to GFSA has changed in the past 12 months.  </w:t>
      </w:r>
    </w:p>
    <w:p>
      <w:pPr>
        <w:pStyle w:val="Normal"/>
        <w:rPr/>
      </w:pPr>
      <w:r>
        <w:rPr/>
      </w:r>
    </w:p>
    <w:p>
      <w:pPr>
        <w:pStyle w:val="Normal"/>
        <w:numPr>
          <w:ilvl w:val="0"/>
          <w:numId w:val="7"/>
        </w:numPr>
        <w:tabs>
          <w:tab w:val="left" w:pos="720" w:leader="none"/>
        </w:tabs>
        <w:spacing w:lineRule="auto" w:line="240" w:before="60" w:after="60"/>
        <w:ind w:left="1080" w:hanging="360"/>
        <w:rPr/>
      </w:pPr>
      <w:r>
        <w:rPr/>
        <w:t>Yes, our State law has changed in the past 12 months.  If “yes”, please attach a brief description of the changes or provide a copy of the new/revised statute.</w:t>
      </w:r>
    </w:p>
    <w:p>
      <w:pPr>
        <w:pStyle w:val="Normal"/>
        <w:numPr>
          <w:ilvl w:val="0"/>
          <w:numId w:val="7"/>
        </w:numPr>
        <w:tabs>
          <w:tab w:val="left" w:pos="720" w:leader="none"/>
        </w:tabs>
        <w:spacing w:lineRule="auto" w:line="240" w:before="60" w:after="60"/>
        <w:ind w:left="1080" w:hanging="360"/>
        <w:rPr/>
      </w:pPr>
      <w:r>
        <w:rPr/>
        <w:t>No, our State law has not changed in the past 12 months.</w:t>
      </w:r>
    </w:p>
    <w:p>
      <w:pPr>
        <w:pStyle w:val="Normal"/>
        <w:rPr/>
      </w:pPr>
      <w:r>
        <w:rPr/>
      </w:r>
    </w:p>
    <w:p>
      <w:pPr>
        <w:pStyle w:val="Normal"/>
        <w:rPr/>
      </w:pPr>
      <w:r>
        <w:rPr/>
      </w:r>
    </w:p>
    <w:p>
      <w:pPr>
        <w:pStyle w:val="Normal"/>
        <w:ind w:left="720" w:hanging="720"/>
        <w:rPr/>
      </w:pPr>
      <w:r>
        <w:rPr/>
        <w:t>10a.</w:t>
        <w:tab/>
        <w:t>How does your State law address the need for providing educational services in an alternative setting to students expelled from their regular school setting?</w:t>
      </w:r>
    </w:p>
    <w:p>
      <w:pPr>
        <w:pStyle w:val="Normal"/>
        <w:rPr/>
      </w:pPr>
      <w:r>
        <w:rPr/>
      </w:r>
    </w:p>
    <w:p>
      <w:pPr>
        <w:pStyle w:val="Normal"/>
        <w:numPr>
          <w:ilvl w:val="0"/>
          <w:numId w:val="9"/>
        </w:numPr>
        <w:tabs>
          <w:tab w:val="left" w:pos="720" w:leader="none"/>
        </w:tabs>
        <w:spacing w:lineRule="auto" w:line="240" w:before="60" w:after="60"/>
        <w:ind w:left="1080" w:hanging="360"/>
        <w:rPr/>
      </w:pPr>
      <w:r>
        <w:rPr/>
        <w:t>State law encourages LEAs to provide educational services to expelled students in an alternative setting.</w:t>
      </w:r>
    </w:p>
    <w:p>
      <w:pPr>
        <w:pStyle w:val="Normal"/>
        <w:numPr>
          <w:ilvl w:val="0"/>
          <w:numId w:val="9"/>
        </w:numPr>
        <w:tabs>
          <w:tab w:val="left" w:pos="720" w:leader="none"/>
        </w:tabs>
        <w:spacing w:lineRule="auto" w:line="240" w:before="60" w:after="60"/>
        <w:ind w:left="1080" w:hanging="360"/>
        <w:rPr/>
      </w:pPr>
      <w:r>
        <w:rPr/>
        <w:t>State law requires LEAs to provide educational services to expelled students in an alternative setting.</w:t>
      </w:r>
    </w:p>
    <w:p>
      <w:pPr>
        <w:pStyle w:val="Normal"/>
        <w:numPr>
          <w:ilvl w:val="0"/>
          <w:numId w:val="9"/>
        </w:numPr>
        <w:tabs>
          <w:tab w:val="left" w:pos="720" w:leader="none"/>
        </w:tabs>
        <w:spacing w:lineRule="auto" w:line="240" w:before="60" w:after="60"/>
        <w:ind w:left="1080" w:hanging="360"/>
        <w:rPr/>
      </w:pPr>
      <w:r>
        <w:rPr/>
        <w:t>State law does not address the need for educational services in an alternative setting.</w:t>
      </w:r>
    </w:p>
    <w:p>
      <w:pPr>
        <w:pStyle w:val="Normal"/>
        <w:rPr/>
      </w:pPr>
      <w:r>
        <w:rPr/>
      </w:r>
    </w:p>
    <w:p>
      <w:pPr>
        <w:pStyle w:val="Normal"/>
        <w:ind w:left="720" w:hanging="360"/>
        <w:rPr/>
      </w:pPr>
      <w:r>
        <w:rPr/>
        <w:t>b.</w:t>
        <w:tab/>
        <w:t>Are any State funds used to support the implementation of educational services in  alternative settings as it relates to students who have been expelled under the GFSA?</w:t>
      </w:r>
    </w:p>
    <w:p>
      <w:pPr>
        <w:pStyle w:val="Normal"/>
        <w:ind w:left="360" w:hanging="0"/>
        <w:rPr/>
      </w:pPr>
      <w:r>
        <w:rPr/>
      </w:r>
    </w:p>
    <w:p>
      <w:pPr>
        <w:pStyle w:val="Normal"/>
        <w:numPr>
          <w:ilvl w:val="0"/>
          <w:numId w:val="4"/>
        </w:numPr>
        <w:tabs>
          <w:tab w:val="left" w:pos="720" w:leader="none"/>
        </w:tabs>
        <w:spacing w:lineRule="auto" w:line="240" w:before="60" w:after="60"/>
        <w:ind w:left="1080" w:hanging="360"/>
        <w:rPr/>
      </w:pPr>
      <w:r>
        <w:rPr/>
        <w:t>Yes, State funds are provided.</w:t>
      </w:r>
    </w:p>
    <w:p>
      <w:pPr>
        <w:pStyle w:val="Normal"/>
        <w:numPr>
          <w:ilvl w:val="0"/>
          <w:numId w:val="4"/>
        </w:numPr>
        <w:tabs>
          <w:tab w:val="left" w:pos="720" w:leader="none"/>
        </w:tabs>
        <w:spacing w:lineRule="auto" w:line="240" w:before="60" w:after="60"/>
        <w:ind w:left="1080" w:hanging="360"/>
        <w:rPr/>
      </w:pPr>
      <w:r>
        <w:rPr/>
        <w:t>No, State funds are not provided.</w:t>
      </w:r>
    </w:p>
    <w:p>
      <w:pPr>
        <w:pStyle w:val="Normal"/>
        <w:rPr/>
      </w:pPr>
      <w:r>
        <w:rPr/>
      </w:r>
    </w:p>
    <w:p>
      <w:pPr>
        <w:pStyle w:val="Normal"/>
        <w:jc w:val="left"/>
        <w:rPr>
          <w:rFonts w:ascii="Arial" w:hAnsi="Arial" w:cs="Arial"/>
          <w:b/>
          <w:b/>
          <w:sz w:val="36"/>
        </w:rPr>
      </w:pPr>
      <w:r>
        <w:rPr>
          <w:rFonts w:cs="Arial" w:ascii="Arial" w:hAnsi="Arial"/>
          <w:b/>
          <w:sz w:val="36"/>
        </w:rPr>
      </w:r>
    </w:p>
    <w:p>
      <w:pPr>
        <w:pStyle w:val="Normal"/>
        <w:spacing w:lineRule="auto" w:line="240" w:before="120" w:after="120"/>
        <w:rPr>
          <w:rFonts w:ascii="Arial" w:hAnsi="Arial" w:cs="Arial"/>
          <w:b/>
          <w:b/>
          <w:sz w:val="20"/>
        </w:rPr>
      </w:pPr>
      <w:r>
        <w:rPr>
          <w:rFonts w:cs="Arial" w:ascii="Arial" w:hAnsi="Arial"/>
          <w:b/>
          <w:sz w:val="20"/>
        </w:rPr>
      </w:r>
    </w:p>
    <w:p>
      <w:pPr>
        <w:pStyle w:val="Normal"/>
        <w:rPr>
          <w:sz w:val="20"/>
        </w:rPr>
      </w:pPr>
      <w:r>
        <w:rPr>
          <w:sz w:val="20"/>
        </w:rPr>
      </w:r>
    </w:p>
    <w:sectPr>
      <w:footerReference w:type="default" r:id="rId89"/>
      <w:footerReference w:type="first" r:id="rId90"/>
      <w:footnotePr>
        <w:numFmt w:val="decimal"/>
      </w:footnotePr>
      <w:type w:val="nextPage"/>
      <w:pgSz w:w="12240" w:h="15840"/>
      <w:pgMar w:left="1440" w:right="1440" w:header="0" w:top="864" w:footer="576"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vi</w:t>
    </w:r>
    <w:r>
      <w:rPr>
        <w:rStyle w:val="PageNumber"/>
        <w:rFonts w:cs="Arial" w:ascii="Arial" w:hAnsi="Arial"/>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23</w:t>
    </w:r>
    <w:r>
      <w:rPr>
        <w:szCs w:val="22"/>
        <w:rFonts w:cs="Arial" w:ascii="Arial" w:hAnsi="Arial"/>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25</w:t>
    </w:r>
    <w:r>
      <w:rPr>
        <w:szCs w:val="22"/>
        <w:rFonts w:cs="Arial" w:ascii="Arial" w:hAnsi="Arial"/>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27</w:t>
    </w:r>
    <w:r>
      <w:rPr>
        <w:szCs w:val="22"/>
        <w:rFonts w:cs="Arial" w:ascii="Arial" w:hAnsi="Arial"/>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29</w:t>
    </w:r>
    <w:r>
      <w:rPr>
        <w:szCs w:val="22"/>
        <w:rFonts w:cs="Arial" w:ascii="Arial" w:hAnsi="Arial"/>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31</w:t>
    </w:r>
    <w:r>
      <w:rPr>
        <w:szCs w:val="22"/>
        <w:rFonts w:cs="Arial" w:ascii="Arial" w:hAnsi="Arial"/>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33</w:t>
    </w:r>
    <w:r>
      <w:rPr>
        <w:szCs w:val="22"/>
        <w:rFonts w:cs="Arial" w:ascii="Arial" w:hAnsi="Arial"/>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35</w:t>
    </w:r>
    <w:r>
      <w:rPr>
        <w:szCs w:val="22"/>
        <w:rFonts w:cs="Arial" w:ascii="Arial" w:hAnsi="Arial"/>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37</w:t>
    </w:r>
    <w:r>
      <w:rPr>
        <w:szCs w:val="22"/>
        <w:rFonts w:cs="Arial" w:ascii="Arial" w:hAnsi="Arial"/>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39</w:t>
    </w:r>
    <w:r>
      <w:rPr>
        <w:szCs w:val="22"/>
        <w:rFonts w:cs="Arial" w:ascii="Arial" w:hAnsi="Arial"/>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41</w:t>
    </w:r>
    <w:r>
      <w:rPr>
        <w:szCs w:val="22"/>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180" w:leader="none"/>
      </w:tabs>
      <w:ind w:right="-7" w:hanging="0"/>
      <w:jc w:val="left"/>
      <w:rPr/>
    </w:pPr>
    <w:r>
      <w:rPr>
        <w:rFonts w:cs="Arial" w:ascii="Arial" w:hAnsi="Arial"/>
        <w:sz w:val="24"/>
      </w:rPr>
      <w:tab/>
      <w:tab/>
      <w:t xml:space="preserve">Page </w:t>
    </w:r>
    <w:r>
      <w:rPr>
        <w:rStyle w:val="PageNumber"/>
        <w:rFonts w:cs="Arial" w:ascii="Arial" w:hAnsi="Arial"/>
        <w:sz w:val="24"/>
        <w:szCs w:val="24"/>
      </w:rPr>
      <w:fldChar w:fldCharType="begin"/>
    </w:r>
    <w:r>
      <w:rPr>
        <w:rStyle w:val="PageNumber"/>
        <w:sz w:val="24"/>
        <w:szCs w:val="24"/>
        <w:rFonts w:cs="Arial" w:ascii="Arial" w:hAnsi="Arial"/>
      </w:rPr>
      <w:instrText> PAGE </w:instrText>
    </w:r>
    <w:r>
      <w:rPr>
        <w:rStyle w:val="PageNumber"/>
        <w:sz w:val="24"/>
        <w:szCs w:val="24"/>
        <w:rFonts w:cs="Arial" w:ascii="Arial" w:hAnsi="Arial"/>
      </w:rPr>
      <w:fldChar w:fldCharType="separate"/>
    </w:r>
    <w:r>
      <w:rPr>
        <w:rStyle w:val="PageNumber"/>
        <w:sz w:val="24"/>
        <w:szCs w:val="24"/>
        <w:rFonts w:cs="Arial" w:ascii="Arial" w:hAnsi="Arial"/>
      </w:rPr>
      <w:t>0</w:t>
    </w:r>
    <w:r>
      <w:rPr>
        <w:rStyle w:val="PageNumber"/>
        <w:sz w:val="24"/>
        <w:szCs w:val="24"/>
        <w:rFonts w:cs="Arial" w:ascii="Arial" w:hAnsi="Arial"/>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43</w:t>
    </w:r>
    <w:r>
      <w:rPr>
        <w:szCs w:val="22"/>
        <w:rFonts w:cs="Arial" w:ascii="Arial" w:hAnsi="Arial"/>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45</w:t>
    </w:r>
    <w:r>
      <w:rPr>
        <w:szCs w:val="22"/>
        <w:rFonts w:cs="Arial" w:ascii="Arial" w:hAnsi="Arial"/>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47</w:t>
    </w:r>
    <w:r>
      <w:rPr>
        <w:szCs w:val="22"/>
        <w:rFonts w:cs="Arial" w:ascii="Arial" w:hAnsi="Arial"/>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49</w:t>
    </w:r>
    <w:r>
      <w:rPr>
        <w:szCs w:val="22"/>
        <w:rFonts w:cs="Arial" w:ascii="Arial" w:hAnsi="Arial"/>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51</w:t>
    </w:r>
    <w:r>
      <w:rPr>
        <w:szCs w:val="22"/>
        <w:rFonts w:cs="Arial" w:ascii="Arial" w:hAnsi="Arial"/>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53</w:t>
    </w:r>
    <w:r>
      <w:rPr>
        <w:szCs w:val="22"/>
        <w:rFonts w:cs="Arial" w:ascii="Arial" w:hAnsi="Arial"/>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55</w:t>
    </w:r>
    <w:r>
      <w:rPr>
        <w:szCs w:val="22"/>
        <w:rFonts w:cs="Arial" w:ascii="Arial" w:hAnsi="Arial"/>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57</w:t>
    </w:r>
    <w:r>
      <w:rPr>
        <w:szCs w:val="22"/>
        <w:rFonts w:cs="Arial" w:ascii="Arial" w:hAnsi="Arial"/>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59</w:t>
    </w:r>
    <w:r>
      <w:rPr>
        <w:szCs w:val="22"/>
        <w:rFonts w:cs="Arial" w:ascii="Arial" w:hAnsi="Arial"/>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61</w:t>
    </w:r>
    <w:r>
      <w:rPr>
        <w:szCs w:val="22"/>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63</w:t>
    </w:r>
    <w:r>
      <w:rPr>
        <w:szCs w:val="22"/>
        <w:rFonts w:cs="Arial" w:ascii="Arial" w:hAnsi="Arial"/>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65</w:t>
    </w:r>
    <w:r>
      <w:rPr>
        <w:szCs w:val="22"/>
        <w:rFonts w:cs="Arial" w:ascii="Arial" w:hAnsi="Arial"/>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67</w:t>
    </w:r>
    <w:r>
      <w:rPr>
        <w:szCs w:val="22"/>
        <w:rFonts w:cs="Arial" w:ascii="Arial" w:hAnsi="Arial"/>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69</w:t>
    </w:r>
    <w:r>
      <w:rPr>
        <w:szCs w:val="22"/>
        <w:rFonts w:cs="Arial" w:ascii="Arial" w:hAnsi="Arial"/>
      </w:rP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71</w:t>
    </w:r>
    <w:r>
      <w:rPr>
        <w:szCs w:val="22"/>
        <w:rFonts w:cs="Arial" w:ascii="Arial" w:hAnsi="Arial"/>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73</w:t>
    </w:r>
    <w:r>
      <w:rPr>
        <w:szCs w:val="22"/>
        <w:rFonts w:cs="Arial" w:ascii="Arial" w:hAnsi="Arial"/>
      </w:rPr>
      <w:fldChar w:fldCharType="end"/>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75</w:t>
    </w:r>
    <w:r>
      <w:rPr>
        <w:szCs w:val="22"/>
        <w:rFonts w:cs="Arial" w:ascii="Arial" w:hAnsi="Arial"/>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77</w:t>
    </w:r>
    <w:r>
      <w:rPr>
        <w:szCs w:val="22"/>
        <w:rFonts w:cs="Arial" w:ascii="Arial" w:hAnsi="Arial"/>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79</w:t>
    </w:r>
    <w:r>
      <w:rPr>
        <w:szCs w:val="22"/>
        <w:rFonts w:cs="Arial" w:ascii="Arial" w:hAnsi="Arial"/>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81</w:t>
    </w:r>
    <w:r>
      <w:rPr>
        <w:szCs w:val="22"/>
        <w:rFonts w:cs="Arial"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180" w:leader="none"/>
      </w:tabs>
      <w:ind w:right="-7" w:hanging="0"/>
      <w:jc w:val="left"/>
      <w:rPr/>
    </w:pPr>
    <w:r>
      <w:rPr>
        <w:rFonts w:cs="Arial" w:ascii="Arial" w:hAnsi="Arial"/>
        <w:szCs w:val="22"/>
      </w:rPr>
      <w:tab/>
      <w:tab/>
      <w:t xml:space="preserve">Page </w:t>
    </w: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6</w:t>
    </w:r>
    <w:r>
      <w:rPr>
        <w:rStyle w:val="PageNumber"/>
        <w:szCs w:val="22"/>
        <w:rFonts w:cs="Arial" w:ascii="Arial" w:hAnsi="Arial"/>
      </w:rP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83</w:t>
    </w:r>
    <w:r>
      <w:rPr>
        <w:szCs w:val="22"/>
        <w:rFonts w:cs="Arial" w:ascii="Arial" w:hAnsi="Arial"/>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85</w:t>
    </w:r>
    <w:r>
      <w:rPr>
        <w:szCs w:val="22"/>
        <w:rFonts w:cs="Arial" w:ascii="Arial" w:hAnsi="Arial"/>
      </w:rPr>
      <w:fldChar w:fldCharType="end"/>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87</w:t>
    </w:r>
    <w:r>
      <w:rPr>
        <w:szCs w:val="22"/>
        <w:rFonts w:cs="Arial" w:ascii="Arial" w:hAnsi="Arial"/>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89</w:t>
    </w:r>
    <w:r>
      <w:rPr>
        <w:szCs w:val="22"/>
        <w:rFonts w:cs="Arial" w:ascii="Arial" w:hAnsi="Arial"/>
      </w:rP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91</w:t>
    </w:r>
    <w:r>
      <w:rPr>
        <w:szCs w:val="22"/>
        <w:rFonts w:cs="Arial" w:ascii="Arial" w:hAnsi="Arial"/>
      </w:rPr>
      <w:fldChar w:fldCharType="end"/>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93</w:t>
    </w:r>
    <w:r>
      <w:rPr>
        <w:szCs w:val="22"/>
        <w:rFonts w:cs="Arial" w:ascii="Arial" w:hAnsi="Arial"/>
      </w:rP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95</w:t>
    </w:r>
    <w:r>
      <w:rPr>
        <w:szCs w:val="22"/>
        <w:rFonts w:cs="Arial" w:ascii="Arial" w:hAnsi="Arial"/>
      </w:rPr>
      <w:fldChar w:fldCharType="end"/>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97</w:t>
    </w:r>
    <w:r>
      <w:rPr>
        <w:szCs w:val="22"/>
        <w:rFonts w:cs="Arial" w:ascii="Arial" w:hAnsi="Arial"/>
      </w:rPr>
      <w:fldChar w:fldCharType="end"/>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99</w:t>
    </w:r>
    <w:r>
      <w:rPr>
        <w:szCs w:val="22"/>
        <w:rFonts w:cs="Arial" w:ascii="Arial" w:hAnsi="Arial"/>
      </w:rP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101</w:t>
    </w:r>
    <w:r>
      <w:rPr>
        <w:szCs w:val="22"/>
        <w:rFonts w:cs="Arial"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180" w:leader="none"/>
      </w:tabs>
      <w:ind w:right="-7" w:hanging="0"/>
      <w:jc w:val="left"/>
      <w:rPr/>
    </w:pPr>
    <w:r>
      <w:rPr>
        <w:rFonts w:cs="Arial" w:ascii="Arial" w:hAnsi="Arial"/>
        <w:szCs w:val="22"/>
      </w:rPr>
      <w:tab/>
      <w:tab/>
      <w:t xml:space="preserve">Page </w:t>
    </w: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15</w:t>
    </w:r>
    <w:r>
      <w:rPr>
        <w:rStyle w:val="PageNumber"/>
        <w:szCs w:val="22"/>
        <w:rFonts w:cs="Arial" w:ascii="Arial" w:hAnsi="Arial"/>
      </w:rPr>
      <w:fldChar w:fldCharType="end"/>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103</w:t>
    </w:r>
    <w:r>
      <w:rPr>
        <w:szCs w:val="22"/>
        <w:rFonts w:cs="Arial" w:ascii="Arial" w:hAnsi="Arial"/>
      </w:rPr>
      <w:fldChar w:fldCharType="end"/>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105</w:t>
    </w:r>
    <w:r>
      <w:rPr>
        <w:szCs w:val="22"/>
        <w:rFonts w:cs="Arial" w:ascii="Arial" w:hAnsi="Arial"/>
      </w:rP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107</w:t>
    </w:r>
    <w:r>
      <w:rPr>
        <w:szCs w:val="22"/>
        <w:rFonts w:cs="Arial" w:ascii="Arial" w:hAnsi="Arial"/>
      </w:rPr>
      <w:fldChar w:fldCharType="end"/>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109</w:t>
    </w:r>
    <w:r>
      <w:rPr>
        <w:szCs w:val="22"/>
        <w:rFonts w:cs="Arial" w:ascii="Arial" w:hAnsi="Arial"/>
      </w:rPr>
      <w:fldChar w:fldCharType="end"/>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111</w:t>
    </w:r>
    <w:r>
      <w:rPr>
        <w:szCs w:val="22"/>
        <w:rFonts w:cs="Arial" w:ascii="Arial" w:hAnsi="Arial"/>
      </w:rPr>
      <w:fldChar w:fldCharType="end"/>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113</w:t>
    </w:r>
    <w:r>
      <w:rPr>
        <w:szCs w:val="22"/>
        <w:rFonts w:cs="Arial" w:ascii="Arial" w:hAnsi="Arial"/>
      </w:rP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115</w:t>
    </w:r>
    <w:r>
      <w:rPr>
        <w:szCs w:val="22"/>
        <w:rFonts w:cs="Arial" w:ascii="Arial" w:hAnsi="Arial"/>
      </w:rPr>
      <w:fldChar w:fldCharType="end"/>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117</w:t>
    </w:r>
    <w:r>
      <w:rPr>
        <w:szCs w:val="22"/>
        <w:rFonts w:cs="Arial" w:ascii="Arial" w:hAnsi="Arial"/>
      </w:rPr>
      <w:fldChar w:fldCharType="end"/>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119</w:t>
    </w:r>
    <w:r>
      <w:rPr>
        <w:szCs w:val="22"/>
        <w:rFonts w:cs="Arial" w:ascii="Arial" w:hAnsi="Arial"/>
      </w:rPr>
      <w:fldChar w:fldCharType="end"/>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121</w:t>
    </w:r>
    <w:r>
      <w:rPr>
        <w:szCs w:val="22"/>
        <w:rFonts w:cs="Arial"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rFonts w:ascii="Arial" w:hAnsi="Arial" w:cs="Arial"/>
        <w:szCs w:val="22"/>
      </w:rPr>
    </w:pPr>
    <w:r>
      <w:rPr>
        <w:rFonts w:cs="Arial" w:ascii="Arial" w:hAnsi="Arial"/>
        <w:szCs w:val="22"/>
      </w:rPr>
      <w:tab/>
      <w:tab/>
      <w:t>State Profiles</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123</w:t>
    </w:r>
    <w:r>
      <w:rPr>
        <w:szCs w:val="22"/>
        <w:rFonts w:cs="Arial" w:ascii="Arial" w:hAnsi="Arial"/>
      </w:rPr>
      <w:fldChar w:fldCharType="end"/>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125</w:t>
    </w:r>
    <w:r>
      <w:rPr>
        <w:szCs w:val="22"/>
        <w:rFonts w:cs="Arial" w:ascii="Arial" w:hAnsi="Arial"/>
      </w:rPr>
      <w:fldChar w:fldCharType="end"/>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127</w:t>
    </w:r>
    <w:r>
      <w:rPr>
        <w:szCs w:val="22"/>
        <w:rFonts w:cs="Arial" w:ascii="Arial" w:hAnsi="Arial"/>
      </w:rPr>
      <w:fldChar w:fldCharType="end"/>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rFonts w:ascii="Arial" w:hAnsi="Arial" w:cs="Arial"/>
        <w:szCs w:val="22"/>
      </w:rPr>
    </w:pPr>
    <w:r>
      <w:rPr>
        <w:rFonts w:cs="Arial" w:ascii="Arial" w:hAnsi="Arial"/>
        <w:szCs w:val="22"/>
      </w:rPr>
      <w:tab/>
      <w:tab/>
      <w:t>Appendix A</w: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Cs w:val="22"/>
      </w:rPr>
    </w:pPr>
    <w:r>
      <w:rPr>
        <w:szCs w:val="22"/>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rFonts w:ascii="Arial" w:hAnsi="Arial" w:cs="Arial"/>
        <w:szCs w:val="22"/>
      </w:rPr>
    </w:pPr>
    <w:r>
      <w:rPr>
        <w:rFonts w:cs="Arial" w:ascii="Arial" w:hAnsi="Arial"/>
        <w:szCs w:val="22"/>
      </w:rPr>
      <w:tab/>
      <w:tab/>
      <w:t>Appendix A</w: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Cs w:val="22"/>
      </w:rPr>
    </w:pPr>
    <w:r>
      <w:rPr>
        <w:szCs w:val="22"/>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rFonts w:ascii="Arial" w:hAnsi="Arial" w:cs="Arial"/>
        <w:sz w:val="24"/>
      </w:rPr>
    </w:pPr>
    <w:r>
      <w:rPr>
        <w:rFonts w:cs="Arial" w:ascii="Arial" w:hAnsi="Arial"/>
        <w:sz w:val="24"/>
      </w:rPr>
      <w:tab/>
      <w:tab/>
      <w:t>Appendix B</w: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rFonts w:ascii="Arial" w:hAnsi="Arial" w:cs="Arial"/>
        <w:szCs w:val="22"/>
      </w:rPr>
    </w:pPr>
    <w:r>
      <w:rPr>
        <w:rFonts w:cs="Arial" w:ascii="Arial" w:hAnsi="Arial"/>
        <w:szCs w:val="22"/>
      </w:rPr>
      <w:tab/>
      <w:tab/>
      <w:t>Appendix B</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17</w:t>
    </w:r>
    <w:r>
      <w:rPr>
        <w:szCs w:val="22"/>
        <w:rFonts w:cs="Arial" w:ascii="Arial" w:hAnsi="Arial"/>
      </w:rPr>
      <w:fldChar w:fldCharType="end"/>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 w:val="24"/>
      </w:rPr>
      <w:t>Form Approved:  OMB No. 1810-0602:  Expiration Date:  8/31/2003</w:t>
      <w:tab/>
      <w:t xml:space="preserve">Page </w:t>
    </w:r>
    <w:r>
      <w:rPr>
        <w:rStyle w:val="PageNumber"/>
        <w:rFonts w:cs="Arial" w:ascii="Arial" w:hAnsi="Arial"/>
        <w:sz w:val="24"/>
        <w:szCs w:val="24"/>
      </w:rPr>
      <w:fldChar w:fldCharType="begin"/>
    </w:r>
    <w:r>
      <w:rPr>
        <w:rStyle w:val="PageNumber"/>
        <w:sz w:val="24"/>
        <w:szCs w:val="24"/>
        <w:rFonts w:cs="Arial" w:ascii="Arial" w:hAnsi="Arial"/>
      </w:rPr>
      <w:instrText> PAGE </w:instrText>
    </w:r>
    <w:r>
      <w:rPr>
        <w:rStyle w:val="PageNumber"/>
        <w:sz w:val="24"/>
        <w:szCs w:val="24"/>
        <w:rFonts w:cs="Arial" w:ascii="Arial" w:hAnsi="Arial"/>
      </w:rPr>
      <w:fldChar w:fldCharType="separate"/>
    </w:r>
    <w:r>
      <w:rPr>
        <w:rStyle w:val="PageNumber"/>
        <w:sz w:val="24"/>
        <w:szCs w:val="24"/>
        <w:rFonts w:cs="Arial" w:ascii="Arial" w:hAnsi="Arial"/>
      </w:rPr>
      <w:t>8</w:t>
    </w:r>
    <w:r>
      <w:rPr>
        <w:rStyle w:val="PageNumber"/>
        <w:sz w:val="24"/>
        <w:szCs w:val="24"/>
        <w:rFonts w:cs="Arial" w:ascii="Arial" w:hAnsi="Arial"/>
      </w:rPr>
      <w:fldChar w:fldCharType="end"/>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Form Approved:  OMB No. 1810-0602:  Expiration Date:  8/31/2003</w:t>
      <w:tab/>
      <w:t xml:space="preserve">Page </w:t>
    </w: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w:t>
    </w:r>
    <w:r>
      <w:rPr>
        <w:rStyle w:val="PageNumber"/>
        <w:szCs w:val="22"/>
        <w:rFonts w:cs="Arial" w:ascii="Arial" w:hAnsi="Arial"/>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19</w:t>
    </w:r>
    <w:r>
      <w:rPr>
        <w:szCs w:val="22"/>
        <w:rFonts w:cs="Arial" w:ascii="Arial" w:hAnsi="Arial"/>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000000"/>
      </w:pBdr>
      <w:tabs>
        <w:tab w:val="clear" w:pos="8640"/>
        <w:tab w:val="center" w:pos="4320" w:leader="none"/>
        <w:tab w:val="right" w:pos="9270" w:leader="none"/>
      </w:tabs>
      <w:jc w:val="left"/>
      <w:rPr/>
    </w:pPr>
    <w:r>
      <w:rPr>
        <w:rFonts w:cs="Arial" w:ascii="Arial" w:hAnsi="Arial"/>
        <w:szCs w:val="22"/>
      </w:rPr>
      <w:tab/>
      <w:tab/>
      <w:t xml:space="preserve">Page </w:t>
    </w:r>
    <w:r>
      <w:rPr>
        <w:rFonts w:cs="Arial" w:ascii="Arial" w:hAnsi="Arial"/>
        <w:szCs w:val="22"/>
      </w:rPr>
      <w:fldChar w:fldCharType="begin"/>
    </w:r>
    <w:r>
      <w:rPr>
        <w:szCs w:val="22"/>
        <w:rFonts w:cs="Arial" w:ascii="Arial" w:hAnsi="Arial"/>
      </w:rPr>
      <w:instrText> PAGE </w:instrText>
    </w:r>
    <w:r>
      <w:rPr>
        <w:szCs w:val="22"/>
        <w:rFonts w:cs="Arial" w:ascii="Arial" w:hAnsi="Arial"/>
      </w:rPr>
      <w:fldChar w:fldCharType="separate"/>
    </w:r>
    <w:r>
      <w:rPr>
        <w:szCs w:val="22"/>
        <w:rFonts w:cs="Arial" w:ascii="Arial" w:hAnsi="Arial"/>
      </w:rPr>
      <w:t>21</w:t>
    </w:r>
    <w:r>
      <w:rPr>
        <w:szCs w:val="22"/>
        <w:rFonts w:cs="Arial" w:ascii="Arial" w:hAnsi="Aria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tLeast" w:line="200" w:before="120" w:after="0"/>
        <w:ind w:left="187" w:hanging="187"/>
        <w:jc w:val="left"/>
        <w:rPr/>
      </w:pPr>
      <w:r>
        <w:rPr>
          <w:rStyle w:val="FootnoteCharacters"/>
        </w:rPr>
        <w:footnoteRef/>
      </w:r>
      <w:r>
        <w:rPr>
          <w:rFonts w:cs="Arial" w:ascii="Arial" w:hAnsi="Arial"/>
          <w:sz w:val="18"/>
          <w:szCs w:val="18"/>
        </w:rPr>
        <w:tab/>
        <w:t>For the purpose of ESEA funding, the District of Columbia and Puerto Rico are counted as “states.”</w:t>
      </w:r>
    </w:p>
  </w:footnote>
  <w:footnote w:id="3">
    <w:p>
      <w:pPr>
        <w:pStyle w:val="Normal"/>
        <w:spacing w:lineRule="atLeast" w:line="200" w:before="120" w:after="0"/>
        <w:ind w:left="187" w:hanging="187"/>
        <w:jc w:val="left"/>
        <w:rPr/>
      </w:pPr>
      <w:r>
        <w:rPr>
          <w:rStyle w:val="FootnoteCharacters"/>
        </w:rPr>
        <w:footnoteRef/>
      </w:r>
      <w:r>
        <w:rPr>
          <w:rFonts w:cs="Arial" w:ascii="Arial" w:hAnsi="Arial"/>
          <w:sz w:val="18"/>
          <w:szCs w:val="18"/>
        </w:rPr>
        <w:tab/>
        <w:t>The outlying areas</w:t>
      </w:r>
      <w:r>
        <w:rPr>
          <w:rFonts w:cs="Arial" w:ascii="Arial" w:hAnsi="Arial"/>
          <w:sz w:val="18"/>
          <w:szCs w:val="18"/>
        </w:rPr>
        <w:t xml:space="preserve"> referred to in this report are: American Samoa, Guam, Northern Marianas, and the Virgin Islands. </w:t>
      </w:r>
    </w:p>
  </w:footnote>
  <w:footnote w:id="4">
    <w:p>
      <w:pPr>
        <w:pStyle w:val="Footnote"/>
        <w:tabs>
          <w:tab w:val="clear" w:pos="120"/>
        </w:tabs>
        <w:bidi w:val="0"/>
        <w:spacing w:before="120" w:after="0"/>
        <w:ind w:left="180" w:hanging="180"/>
        <w:jc w:val="left"/>
        <w:rPr/>
      </w:pPr>
      <w:r>
        <w:rPr>
          <w:rStyle w:val="FootnoteCharacters"/>
        </w:rPr>
        <w:footnoteRef/>
      </w:r>
      <w:r>
        <w:rPr>
          <w:rFonts w:cs="Arial" w:ascii="Arial" w:hAnsi="Arial"/>
          <w:sz w:val="18"/>
        </w:rPr>
        <w:tab/>
        <w:t>See the data collection instrument in Appendix B for a detailed definition of a firearm.</w:t>
      </w:r>
    </w:p>
  </w:footnote>
  <w:footnote w:id="5">
    <w:p>
      <w:pPr>
        <w:pStyle w:val="Normal"/>
        <w:spacing w:lineRule="auto" w:line="240"/>
        <w:ind w:left="180" w:hanging="180"/>
        <w:jc w:val="left"/>
        <w:rPr/>
      </w:pPr>
      <w:r>
        <w:rPr>
          <w:rStyle w:val="FootnoteCharacters"/>
        </w:rPr>
        <w:footnoteRef/>
      </w:r>
      <w:r>
        <w:rPr>
          <w:rFonts w:cs="Arial" w:ascii="Arial" w:hAnsi="Arial"/>
          <w:b/>
          <w:sz w:val="18"/>
        </w:rPr>
        <w:tab/>
        <w:t>Elementary school</w:t>
      </w:r>
      <w:r>
        <w:rPr>
          <w:b/>
          <w:sz w:val="18"/>
        </w:rPr>
        <w:t>─</w:t>
      </w:r>
      <w:r>
        <w:rPr>
          <w:rFonts w:cs="Arial" w:ascii="Arial" w:hAnsi="Arial"/>
          <w:sz w:val="18"/>
        </w:rPr>
        <w:t>A school classified as elementary by state and local practice and composed of any span of grades not above Grade 6. Combined elementary-junior high schools are considered junior high schools and combined elementary and secondary schools (e.g., K-12 buildings) are classified as high schools for this report.</w:t>
      </w:r>
    </w:p>
    <w:p>
      <w:pPr>
        <w:pStyle w:val="Normal"/>
        <w:spacing w:lineRule="auto" w:line="240"/>
        <w:jc w:val="left"/>
        <w:rPr>
          <w:rFonts w:ascii="Arial" w:hAnsi="Arial" w:cs="Arial"/>
          <w:sz w:val="18"/>
        </w:rPr>
      </w:pPr>
      <w:r>
        <w:rPr>
          <w:rFonts w:cs="Arial" w:ascii="Arial" w:hAnsi="Arial"/>
          <w:sz w:val="18"/>
        </w:rPr>
      </w:r>
    </w:p>
    <w:p>
      <w:pPr>
        <w:pStyle w:val="Normal"/>
        <w:spacing w:lineRule="auto" w:line="240"/>
        <w:ind w:left="180" w:hanging="0"/>
        <w:jc w:val="left"/>
        <w:rPr/>
      </w:pPr>
      <w:r>
        <w:rPr>
          <w:rFonts w:cs="Arial" w:ascii="Arial" w:hAnsi="Arial"/>
          <w:b/>
          <w:sz w:val="18"/>
        </w:rPr>
        <w:t>Junior high school</w:t>
      </w:r>
      <w:r>
        <w:rPr>
          <w:b/>
          <w:sz w:val="18"/>
        </w:rPr>
        <w:t>─</w:t>
      </w:r>
      <w:r>
        <w:rPr>
          <w:rFonts w:cs="Arial" w:ascii="Arial" w:hAnsi="Arial"/>
          <w:sz w:val="18"/>
        </w:rPr>
        <w:t>A separately organized and administered school intermediate between elementary and senior high schools, which might also be called a middle school, usually includes Grades 7, 8, and 9; Grade 7 and 8; or Grades 6, 7, and 8. Combined elementary-junior high schools are considered junior high schools for this report; junior-senior high schools are considered junior high schools for this report; junior-senior high school combinations are defined as senior high schools.</w:t>
      </w:r>
    </w:p>
    <w:p>
      <w:pPr>
        <w:pStyle w:val="TextBody"/>
        <w:ind w:left="180" w:right="144" w:hanging="0"/>
        <w:rPr/>
      </w:pPr>
      <w:r>
        <w:rPr>
          <w:b/>
        </w:rPr>
        <w:t>Senior high school</w:t>
      </w:r>
      <w:r>
        <w:rPr>
          <w:rFonts w:cs="Times New Roman" w:ascii="Times New Roman" w:hAnsi="Times New Roman"/>
          <w:b/>
        </w:rPr>
        <w:t>─</w:t>
      </w:r>
      <w:r>
        <w:rPr/>
        <w:t>A school offering the final years of school work necessary for graduation, usually including Grades 10, 11, and 12; or Grades 9, 10, 11, and 12. Combined junior and senior high schools are classified as high schools for this report; combined elementary and secondary schools (e.g., K-12 buildings) are also classified as high schools.</w:t>
      </w:r>
    </w:p>
  </w:footnote>
  <w:footnote w:id="6">
    <w:p>
      <w:pPr>
        <w:pStyle w:val="Footnote"/>
        <w:tabs>
          <w:tab w:val="clear" w:pos="120"/>
          <w:tab w:val="left" w:pos="360" w:leader="none"/>
        </w:tabs>
        <w:bidi w:val="0"/>
        <w:spacing w:before="120" w:after="0"/>
        <w:ind w:left="187" w:hanging="187"/>
        <w:jc w:val="left"/>
        <w:rPr/>
      </w:pPr>
      <w:r>
        <w:rPr>
          <w:rStyle w:val="FootnoteCharacters"/>
        </w:rPr>
        <w:footnoteRef/>
      </w:r>
      <w:r>
        <w:rPr>
          <w:rFonts w:cs="Arial" w:ascii="Arial" w:hAnsi="Arial"/>
          <w:sz w:val="18"/>
          <w:szCs w:val="18"/>
        </w:rPr>
        <w:tab/>
        <w:t>The reported number of expulsions by type of firearm differ from the total number of expulsions in Figure 1 and Table 2 because Puerto Rico was unable to report one of their expulsions by type of firearm and Wisconsin was unable to report any of their expulsions by type of firearm.</w:t>
      </w:r>
    </w:p>
  </w:footnote>
  <w:footnote w:id="7">
    <w:p>
      <w:pPr>
        <w:pStyle w:val="Footnote"/>
        <w:tabs>
          <w:tab w:val="clear" w:pos="120"/>
        </w:tabs>
        <w:bidi w:val="0"/>
        <w:spacing w:before="120" w:after="0"/>
        <w:ind w:left="180" w:hanging="180"/>
        <w:jc w:val="left"/>
        <w:rPr/>
      </w:pPr>
      <w:r>
        <w:rPr>
          <w:rStyle w:val="FootnoteCharacters"/>
        </w:rPr>
        <w:footnoteRef/>
      </w:r>
      <w:r>
        <w:rPr>
          <w:rFonts w:cs="Arial" w:ascii="Arial" w:hAnsi="Arial"/>
          <w:sz w:val="18"/>
          <w:szCs w:val="18"/>
        </w:rPr>
        <w:tab/>
        <w:t>Montana and Ohio did not provide information on GFSA violations referred to an alternative placement for</w:t>
        <w:br/>
        <w:t>2001-2002.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numFmt w:val="bullet"/>
      <w:lvlText w:val=""/>
      <w:lvlJc w:val="left"/>
      <w:pPr>
        <w:tabs>
          <w:tab w:val="num" w:pos="432"/>
        </w:tabs>
        <w:ind w:left="432" w:hanging="432"/>
      </w:pPr>
      <w:rPr>
        <w:rFonts w:ascii="Symbol" w:hAnsi="Symbol" w:cs="Symbol" w:hint="default"/>
        <w:spacing w:val="2"/>
        <w:rFonts w:cs="Symbol"/>
      </w:rPr>
    </w:lvl>
  </w:abstractNum>
  <w:abstractNum w:abstractNumId="3">
    <w:lvl w:ilvl="0">
      <w:start w:val="8"/>
      <w:numFmt w:val="decimal"/>
      <w:lvlText w:val="%1."/>
      <w:lvlJc w:val="left"/>
      <w:pPr>
        <w:tabs>
          <w:tab w:val="num" w:pos="360"/>
        </w:tabs>
        <w:ind w:left="360" w:hanging="360"/>
      </w:pPr>
      <w:rPr/>
    </w:lvl>
  </w:abstractNum>
  <w:abstractNum w:abstractNumId="4">
    <w:lvl w:ilvl="0">
      <w:start w:val="1"/>
      <w:numFmt w:val="bullet"/>
      <w:lvlText w:val=""/>
      <w:lvlJc w:val="left"/>
      <w:pPr>
        <w:tabs>
          <w:tab w:val="num" w:pos="360"/>
        </w:tabs>
        <w:ind w:left="360" w:hanging="360"/>
      </w:pPr>
      <w:rPr>
        <w:rFonts w:ascii="Wingdings" w:hAnsi="Wingdings" w:cs="Wingdings" w:hint="default"/>
        <w:sz w:val="32"/>
        <w:i w:val="false"/>
        <w:b/>
        <w:rFonts w:cs="Wingdings"/>
      </w:rPr>
    </w:lvl>
  </w:abstractNum>
  <w:abstractNum w:abstractNumId="5">
    <w:lvl w:ilvl="0">
      <w:start w:val="2"/>
      <w:numFmt w:val="upperLetter"/>
      <w:lvlText w:val="%1."/>
      <w:lvlJc w:val="left"/>
      <w:pPr>
        <w:tabs>
          <w:tab w:val="num" w:pos="585"/>
        </w:tabs>
        <w:ind w:left="585" w:hanging="360"/>
      </w:pPr>
      <w:rPr/>
    </w:lvl>
  </w:abstractNum>
  <w:abstractNum w:abstractNumId="6">
    <w:lvl w:ilvl="0">
      <w:numFmt w:val="bullet"/>
      <w:lvlText w:val=""/>
      <w:lvlJc w:val="left"/>
      <w:pPr>
        <w:tabs>
          <w:tab w:val="num" w:pos="432"/>
        </w:tabs>
        <w:ind w:left="432" w:hanging="432"/>
      </w:pPr>
      <w:rPr>
        <w:rFonts w:ascii="Symbol" w:hAnsi="Symbol" w:cs="Symbol" w:hint="default"/>
        <w:rFonts w:cs="Symbol"/>
      </w:rPr>
    </w:lvl>
  </w:abstractNum>
  <w:abstractNum w:abstractNumId="7">
    <w:lvl w:ilvl="0">
      <w:start w:val="1"/>
      <w:numFmt w:val="bullet"/>
      <w:lvlText w:val=""/>
      <w:lvlJc w:val="left"/>
      <w:pPr>
        <w:tabs>
          <w:tab w:val="num" w:pos="360"/>
        </w:tabs>
        <w:ind w:left="360" w:hanging="360"/>
      </w:pPr>
      <w:rPr>
        <w:rFonts w:ascii="Wingdings" w:hAnsi="Wingdings" w:cs="Wingdings" w:hint="default"/>
        <w:sz w:val="32"/>
        <w:i w:val="false"/>
        <w:b/>
        <w:rFonts w:cs="Wingdings"/>
      </w:rPr>
    </w:lvl>
  </w:abstractNum>
  <w:abstractNum w:abstractNumId="8">
    <w:lvl w:ilvl="0">
      <w:start w:val="1"/>
      <w:numFmt w:val="bullet"/>
      <w:lvlText w:val=""/>
      <w:lvlJc w:val="left"/>
      <w:pPr>
        <w:ind w:left="1728" w:hanging="576"/>
      </w:pPr>
      <w:rPr>
        <w:rFonts w:ascii="Wingdings" w:hAnsi="Wingdings" w:cs="Wingdings" w:hint="default"/>
        <w:sz w:val="16"/>
        <w:rFonts w:cs="Wingdings"/>
      </w:rPr>
    </w:lvl>
  </w:abstractNum>
  <w:abstractNum w:abstractNumId="9">
    <w:lvl w:ilvl="0">
      <w:start w:val="1"/>
      <w:numFmt w:val="bullet"/>
      <w:lvlText w:val=""/>
      <w:lvlJc w:val="left"/>
      <w:pPr>
        <w:tabs>
          <w:tab w:val="num" w:pos="360"/>
        </w:tabs>
        <w:ind w:left="360" w:hanging="360"/>
      </w:pPr>
      <w:rPr>
        <w:rFonts w:ascii="Wingdings" w:hAnsi="Wingdings" w:cs="Wingdings" w:hint="default"/>
        <w:sz w:val="32"/>
        <w:i w:val="false"/>
        <w:b/>
        <w:rFonts w:cs="Wingdings"/>
      </w:rPr>
    </w:lvl>
  </w:abstractNum>
  <w:abstractNum w:abstractNumId="10">
    <w:lvl w:ilvl="0">
      <w:start w:val="1"/>
      <w:numFmt w:val="decimal"/>
      <w:lvlText w:val="(%1)."/>
      <w:lvlJc w:val="left"/>
      <w:pPr>
        <w:tabs>
          <w:tab w:val="num" w:pos="461"/>
        </w:tabs>
        <w:ind w:left="461" w:hanging="461"/>
      </w:pPr>
      <w:rPr/>
    </w:lvl>
  </w:abstractNum>
  <w:abstractNum w:abstractNumId="11">
    <w:lvl w:ilvl="0">
      <w:numFmt w:val="bullet"/>
      <w:lvlText w:val=""/>
      <w:lvlJc w:val="left"/>
      <w:pPr>
        <w:tabs>
          <w:tab w:val="num" w:pos="432"/>
        </w:tabs>
        <w:ind w:left="432" w:hanging="432"/>
      </w:pPr>
      <w:rPr>
        <w:rFonts w:ascii="Symbol" w:hAnsi="Symbol" w:cs="Symbol" w:hint="default"/>
        <w:rFonts w:cs="Symbol"/>
      </w:rPr>
    </w:lvl>
  </w:abstractNum>
  <w:abstractNum w:abstractNumId="12">
    <w:lvl w:ilvl="0">
      <w:numFmt w:val="bullet"/>
      <w:lvlText w:val=""/>
      <w:lvlJc w:val="left"/>
      <w:pPr>
        <w:tabs>
          <w:tab w:val="num" w:pos="432"/>
        </w:tabs>
        <w:ind w:left="432" w:hanging="432"/>
      </w:pPr>
      <w:rPr>
        <w:rFonts w:ascii="Symbol" w:hAnsi="Symbol" w:cs="Symbol" w:hint="default"/>
        <w:rFonts w:cs="Symbol"/>
      </w:rPr>
    </w:lvl>
  </w:abstractNum>
  <w:abstractNum w:abstractNumId="13">
    <w:lvl w:ilvl="0">
      <w:numFmt w:val="bullet"/>
      <w:lvlText w:val=""/>
      <w:lvlJc w:val="left"/>
      <w:pPr>
        <w:tabs>
          <w:tab w:val="num" w:pos="432"/>
        </w:tabs>
        <w:ind w:left="432" w:hanging="432"/>
      </w:pPr>
      <w:rPr>
        <w:rFonts w:ascii="Symbol" w:hAnsi="Symbol" w:cs="Symbol" w:hint="default"/>
        <w:rFonts w:cs="Symbol"/>
      </w:rPr>
    </w:lvl>
  </w:abstractNum>
  <w:abstractNum w:abstractNumId="14">
    <w:lvl w:ilvl="0">
      <w:start w:val="3"/>
      <w:numFmt w:val="decimal"/>
      <w:lvlText w:val="%1."/>
      <w:lvlJc w:val="left"/>
      <w:pPr>
        <w:tabs>
          <w:tab w:val="num" w:pos="540"/>
        </w:tabs>
        <w:ind w:left="540" w:hanging="540"/>
      </w:pPr>
      <w:rPr>
        <w:sz w:val="21"/>
      </w:rPr>
    </w:lvl>
  </w:abstractNum>
  <w:abstractNum w:abstractNumId="15">
    <w:lvl w:ilvl="0">
      <w:start w:val="1"/>
      <w:numFmt w:val="decimal"/>
      <w:lvlText w:val="-%1"/>
      <w:lvlJc w:val="left"/>
      <w:pPr>
        <w:tabs>
          <w:tab w:val="num" w:pos="576"/>
        </w:tabs>
        <w:ind w:left="576" w:hanging="5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tLeast" w:line="240"/>
      <w:jc w:val="both"/>
    </w:pPr>
    <w:rPr>
      <w:rFonts w:ascii="Times New Roman" w:hAnsi="Times New Roman" w:eastAsia="Times New Roman" w:cs="Times New Roman"/>
      <w:color w:val="auto"/>
      <w:sz w:val="22"/>
      <w:szCs w:val="20"/>
      <w:lang w:val="en-US" w:bidi="ar-SA" w:eastAsia="zh-CN"/>
    </w:rPr>
  </w:style>
  <w:style w:type="paragraph" w:styleId="Heading1">
    <w:name w:val="Heading 1"/>
    <w:basedOn w:val="Normal"/>
    <w:next w:val="P1StandPara"/>
    <w:qFormat/>
    <w:pPr>
      <w:keepNext w:val="true"/>
      <w:numPr>
        <w:ilvl w:val="0"/>
        <w:numId w:val="1"/>
      </w:numPr>
      <w:tabs>
        <w:tab w:val="clear" w:pos="720"/>
        <w:tab w:val="left" w:pos="1152" w:leader="none"/>
      </w:tabs>
      <w:spacing w:lineRule="atLeast" w:line="360" w:before="0" w:after="360"/>
      <w:ind w:left="1152" w:hanging="1152"/>
      <w:outlineLvl w:val="0"/>
    </w:pPr>
    <w:rPr>
      <w:b/>
    </w:rPr>
  </w:style>
  <w:style w:type="paragraph" w:styleId="Heading2">
    <w:name w:val="Heading 2"/>
    <w:basedOn w:val="Normal"/>
    <w:next w:val="P1StandPara"/>
    <w:qFormat/>
    <w:pPr>
      <w:keepNext w:val="true"/>
      <w:numPr>
        <w:ilvl w:val="1"/>
        <w:numId w:val="1"/>
      </w:numPr>
      <w:tabs>
        <w:tab w:val="clear" w:pos="720"/>
        <w:tab w:val="left" w:pos="1152" w:leader="none"/>
      </w:tabs>
      <w:spacing w:lineRule="atLeast" w:line="360" w:before="0" w:after="360"/>
      <w:ind w:left="1152" w:hanging="1152"/>
      <w:outlineLvl w:val="1"/>
    </w:pPr>
    <w:rPr>
      <w:b/>
    </w:rPr>
  </w:style>
  <w:style w:type="paragraph" w:styleId="Heading3">
    <w:name w:val="Heading 3"/>
    <w:basedOn w:val="Normal"/>
    <w:next w:val="P1StandPara"/>
    <w:qFormat/>
    <w:pPr>
      <w:keepNext w:val="true"/>
      <w:numPr>
        <w:ilvl w:val="2"/>
        <w:numId w:val="1"/>
      </w:numPr>
      <w:tabs>
        <w:tab w:val="clear" w:pos="720"/>
        <w:tab w:val="left" w:pos="1152" w:leader="none"/>
      </w:tabs>
      <w:spacing w:lineRule="atLeast" w:line="360" w:before="0" w:after="360"/>
      <w:ind w:left="1152" w:hanging="1152"/>
      <w:outlineLvl w:val="2"/>
    </w:pPr>
    <w:rPr>
      <w:b/>
    </w:rPr>
  </w:style>
  <w:style w:type="paragraph" w:styleId="Heading4">
    <w:name w:val="Heading 4"/>
    <w:basedOn w:val="Normal"/>
    <w:next w:val="P1StandPara"/>
    <w:qFormat/>
    <w:pPr>
      <w:keepNext w:val="true"/>
      <w:numPr>
        <w:ilvl w:val="3"/>
        <w:numId w:val="1"/>
      </w:numPr>
      <w:tabs>
        <w:tab w:val="clear" w:pos="720"/>
        <w:tab w:val="left" w:pos="1152" w:leader="none"/>
      </w:tabs>
      <w:spacing w:lineRule="atLeast" w:line="360" w:before="0" w:after="360"/>
      <w:ind w:left="1152" w:hanging="1152"/>
      <w:outlineLvl w:val="3"/>
    </w:pPr>
    <w:rPr>
      <w:b/>
    </w:rPr>
  </w:style>
  <w:style w:type="paragraph" w:styleId="Heading5">
    <w:name w:val="Heading 5"/>
    <w:basedOn w:val="Normal"/>
    <w:next w:val="Normal"/>
    <w:qFormat/>
    <w:pPr>
      <w:keepLines/>
      <w:numPr>
        <w:ilvl w:val="4"/>
        <w:numId w:val="1"/>
      </w:numPr>
      <w:spacing w:lineRule="atLeast" w:line="360" w:before="360" w:after="0"/>
      <w:jc w:val="center"/>
      <w:outlineLvl w:val="4"/>
    </w:pPr>
    <w:rPr/>
  </w:style>
  <w:style w:type="paragraph" w:styleId="Heading6">
    <w:name w:val="Heading 6"/>
    <w:basedOn w:val="Normal"/>
    <w:next w:val="Normal"/>
    <w:qFormat/>
    <w:pPr>
      <w:keepNext w:val="true"/>
      <w:numPr>
        <w:ilvl w:val="5"/>
        <w:numId w:val="1"/>
      </w:numPr>
      <w:spacing w:before="240" w:after="0"/>
      <w:jc w:val="center"/>
      <w:outlineLvl w:val="5"/>
    </w:pPr>
    <w:rPr>
      <w:b/>
      <w:caps/>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keepNext w:val="true"/>
      <w:numPr>
        <w:ilvl w:val="7"/>
        <w:numId w:val="1"/>
      </w:numPr>
      <w:spacing w:lineRule="auto" w:line="240"/>
      <w:jc w:val="left"/>
      <w:outlineLvl w:val="7"/>
    </w:pPr>
    <w:rPr>
      <w:rFonts w:ascii="Arial" w:hAnsi="Arial" w:cs="Arial"/>
      <w:b/>
      <w:i/>
      <w:spacing w:val="-2"/>
    </w:rPr>
  </w:style>
  <w:style w:type="paragraph" w:styleId="Heading9">
    <w:name w:val="Heading 9"/>
    <w:basedOn w:val="Normal"/>
    <w:next w:val="Normal"/>
    <w:qFormat/>
    <w:pPr>
      <w:keepNext w:val="true"/>
      <w:numPr>
        <w:ilvl w:val="8"/>
        <w:numId w:val="1"/>
      </w:numPr>
      <w:jc w:val="left"/>
      <w:outlineLvl w:val="8"/>
    </w:pPr>
    <w:rPr>
      <w:rFonts w:ascii="Arial" w:hAnsi="Arial" w:cs="Arial"/>
      <w:b/>
      <w:color w:val="000000"/>
      <w:sz w:val="18"/>
    </w:rPr>
  </w:style>
  <w:style w:type="character" w:styleId="WW8Num1z0">
    <w:name w:val="WW8Num1z0"/>
    <w:qFormat/>
    <w:rPr/>
  </w:style>
  <w:style w:type="character" w:styleId="WW8Num2z0">
    <w:name w:val="WW8Num2z0"/>
    <w:qFormat/>
    <w:rPr>
      <w:rFonts w:ascii="Symbol" w:hAnsi="Symbol" w:cs="Symbol"/>
      <w:spacing w:val="2"/>
    </w:rPr>
  </w:style>
  <w:style w:type="character" w:styleId="WW8Num3z0">
    <w:name w:val="WW8Num3z0"/>
    <w:qFormat/>
    <w:rPr/>
  </w:style>
  <w:style w:type="character" w:styleId="WW8Num4z0">
    <w:name w:val="WW8Num4z0"/>
    <w:qFormat/>
    <w:rPr>
      <w:rFonts w:ascii="Wingdings" w:hAnsi="Wingdings" w:cs="Wingdings"/>
      <w:b/>
      <w:i w:val="false"/>
      <w:sz w:val="32"/>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Wingdings" w:hAnsi="Wingdings" w:cs="Wingdings"/>
      <w:b/>
      <w:i w:val="false"/>
      <w:sz w:val="32"/>
    </w:rPr>
  </w:style>
  <w:style w:type="character" w:styleId="WW8Num11z0">
    <w:name w:val="WW8Num11z0"/>
    <w:qFormat/>
    <w:rPr>
      <w:rFonts w:ascii="Wingdings" w:hAnsi="Wingdings" w:cs="Wingdings"/>
      <w:sz w:val="16"/>
    </w:rPr>
  </w:style>
  <w:style w:type="character" w:styleId="WW8Num12z0">
    <w:name w:val="WW8Num12z0"/>
    <w:qFormat/>
    <w:rPr>
      <w:rFonts w:ascii="Wingdings" w:hAnsi="Wingdings" w:cs="Wingdings"/>
      <w:b/>
      <w:i w:val="false"/>
      <w:sz w:val="32"/>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sz w:val="21"/>
    </w:rPr>
  </w:style>
  <w:style w:type="character" w:styleId="WW8NumSt2z0">
    <w:name w:val="WW8NumSt2z0"/>
    <w:qFormat/>
    <w:rPr>
      <w:rFonts w:ascii="Times New Roman" w:hAnsi="Times New Roman" w:cs="Times New Roman"/>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InternetLink">
    <w:name w:val="Hyperlink"/>
    <w:basedOn w:val="DefaultParagraphFont"/>
    <w:rPr>
      <w:color w:val="0000FF"/>
      <w:u w:val="single"/>
    </w:rPr>
  </w:style>
  <w:style w:type="character" w:styleId="WW8Dropcap0">
    <w:name w:val="WW8Dropcap0"/>
    <w:qFormat/>
    <w:rPr>
      <w:rFonts w:ascii="Arial" w:hAnsi="Arial" w:cs="Arial"/>
      <w:sz w:val="59"/>
    </w:rPr>
  </w:style>
  <w:style w:type="character" w:styleId="WW8Dropcap1">
    <w:name w:val="WW8Dropcap1"/>
    <w:qFormat/>
    <w:rPr>
      <w:rFonts w:ascii="Arial" w:hAnsi="Arial" w:cs="Arial"/>
      <w:sz w:val="59"/>
    </w:rPr>
  </w:style>
  <w:style w:type="character" w:styleId="WW8Dropcap2">
    <w:name w:val="WW8Dropcap2"/>
    <w:qFormat/>
    <w:rPr>
      <w:rFonts w:ascii="Arial" w:hAnsi="Arial" w:cs="Arial"/>
      <w:sz w:val="59"/>
    </w:rPr>
  </w:style>
  <w:style w:type="character" w:styleId="WW8Dropcap3">
    <w:name w:val="WW8Dropcap3"/>
    <w:qFormat/>
    <w:rPr>
      <w:rFonts w:ascii="Arial" w:hAnsi="Arial" w:cs="Arial"/>
      <w:sz w:val="59"/>
    </w:rPr>
  </w:style>
  <w:style w:type="character" w:styleId="WW8Dropcap4">
    <w:name w:val="WW8Dropcap4"/>
    <w:qFormat/>
    <w:rPr>
      <w:rFonts w:ascii="Arial" w:hAnsi="Arial" w:cs="Arial"/>
      <w:sz w:val="59"/>
    </w:rPr>
  </w:style>
  <w:style w:type="character" w:styleId="WW8Dropcap5">
    <w:name w:val="WW8Dropcap5"/>
    <w:qFormat/>
    <w:rPr>
      <w:rFonts w:ascii="Arial" w:hAnsi="Arial" w:cs="Arial"/>
      <w:spacing w:val="2"/>
      <w:sz w:val="58"/>
      <w:lang w:val="en-US" w:eastAsia="en-US"/>
    </w:rPr>
  </w:style>
  <w:style w:type="character" w:styleId="WW8Dropcap6">
    <w:name w:val="WW8Dropcap6"/>
    <w:qFormat/>
    <w:rPr>
      <w:rFonts w:ascii="Arial" w:hAnsi="Arial" w:cs="Arial"/>
      <w:sz w:val="59"/>
    </w:rPr>
  </w:style>
  <w:style w:type="character" w:styleId="WW8Dropcap7">
    <w:name w:val="WW8Dropcap7"/>
    <w:qFormat/>
    <w:rPr>
      <w:rFonts w:ascii="Arial" w:hAnsi="Arial" w:cs="Arial"/>
      <w:sz w:val="58"/>
    </w:rPr>
  </w:style>
  <w:style w:type="character" w:styleId="WW8Dropcap8">
    <w:name w:val="WW8Dropcap8"/>
    <w:qFormat/>
    <w:rPr>
      <w:rFonts w:ascii="Arial" w:hAnsi="Arial" w:cs="Arial"/>
      <w:vanish w:val="false"/>
      <w:sz w:val="58"/>
    </w:rPr>
  </w:style>
  <w:style w:type="character" w:styleId="WW8Dropcap9">
    <w:name w:val="WW8Dropcap9"/>
    <w:qFormat/>
    <w:rPr>
      <w:rFonts w:ascii="Arial" w:hAnsi="Arial" w:cs="Arial"/>
      <w:sz w:val="60"/>
    </w:rPr>
  </w:style>
  <w:style w:type="character" w:styleId="WW8Dropcap10">
    <w:name w:val="WW8Dropcap10"/>
    <w:qFormat/>
    <w:rPr>
      <w:rFonts w:ascii="Arial" w:hAnsi="Arial" w:cs="Arial"/>
      <w:sz w:val="57"/>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40" w:before="144" w:after="0"/>
      <w:ind w:right="144" w:hanging="0"/>
      <w:jc w:val="left"/>
    </w:pPr>
    <w:rPr>
      <w:rFonts w:ascii="Arial" w:hAnsi="Arial" w:cs="Arial"/>
      <w:sz w:val="1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1StandPara">
    <w:name w:val="P1-Stand Para"/>
    <w:qFormat/>
    <w:pPr>
      <w:widowControl/>
      <w:bidi w:val="0"/>
      <w:spacing w:lineRule="atLeast" w:line="360"/>
      <w:ind w:firstLine="1152"/>
      <w:jc w:val="both"/>
    </w:pPr>
    <w:rPr>
      <w:rFonts w:ascii="Times New Roman" w:hAnsi="Times New Roman" w:eastAsia="Times New Roman" w:cs="Times New Roman"/>
      <w:color w:val="auto"/>
      <w:sz w:val="22"/>
      <w:szCs w:val="20"/>
      <w:lang w:val="en-US" w:bidi="ar-SA" w:eastAsia="zh-CN"/>
    </w:rPr>
  </w:style>
  <w:style w:type="paragraph" w:styleId="C1CtrBoldHd">
    <w:name w:val="C1-Ctr BoldHd"/>
    <w:qFormat/>
    <w:pPr>
      <w:keepNext w:val="true"/>
      <w:widowControl/>
      <w:bidi w:val="0"/>
      <w:spacing w:lineRule="atLeast" w:line="240" w:before="0" w:after="720"/>
      <w:jc w:val="center"/>
    </w:pPr>
    <w:rPr>
      <w:rFonts w:ascii="Times New Roman" w:hAnsi="Times New Roman" w:eastAsia="Times New Roman" w:cs="Times New Roman"/>
      <w:b/>
      <w:caps/>
      <w:color w:val="auto"/>
      <w:sz w:val="22"/>
      <w:szCs w:val="20"/>
      <w:lang w:val="en-US" w:bidi="ar-SA" w:eastAsia="zh-CN"/>
    </w:rPr>
  </w:style>
  <w:style w:type="paragraph" w:styleId="C2CtrSglSp">
    <w:name w:val="C2-Ctr Sgl Sp"/>
    <w:qFormat/>
    <w:pPr>
      <w:keepLines/>
      <w:widowControl/>
      <w:bidi w:val="0"/>
      <w:spacing w:lineRule="atLeast" w:line="240"/>
      <w:jc w:val="center"/>
    </w:pPr>
    <w:rPr>
      <w:rFonts w:ascii="Times New Roman" w:hAnsi="Times New Roman" w:eastAsia="Times New Roman" w:cs="Times New Roman"/>
      <w:color w:val="auto"/>
      <w:sz w:val="22"/>
      <w:szCs w:val="20"/>
      <w:lang w:val="en-US" w:bidi="ar-SA" w:eastAsia="zh-CN"/>
    </w:rPr>
  </w:style>
  <w:style w:type="paragraph" w:styleId="C3CtrSp12">
    <w:name w:val="C3-Ctr Sp&amp;1/2"/>
    <w:qFormat/>
    <w:pPr>
      <w:keepLines/>
      <w:widowControl/>
      <w:bidi w:val="0"/>
      <w:spacing w:lineRule="atLeast" w:line="360"/>
      <w:jc w:val="center"/>
    </w:pPr>
    <w:rPr>
      <w:rFonts w:ascii="Times New Roman" w:hAnsi="Times New Roman" w:eastAsia="Times New Roman" w:cs="Times New Roman"/>
      <w:color w:val="auto"/>
      <w:sz w:val="22"/>
      <w:szCs w:val="20"/>
      <w:lang w:val="en-US" w:bidi="ar-SA" w:eastAsia="zh-CN"/>
    </w:rPr>
  </w:style>
  <w:style w:type="paragraph" w:styleId="E1Equation">
    <w:name w:val="E1-Equation"/>
    <w:qFormat/>
    <w:pPr>
      <w:widowControl/>
      <w:tabs>
        <w:tab w:val="clear" w:pos="720"/>
        <w:tab w:val="center" w:pos="4680" w:leader="none"/>
        <w:tab w:val="right" w:pos="9360" w:leader="none"/>
      </w:tabs>
      <w:bidi w:val="0"/>
      <w:spacing w:lineRule="atLeast" w:line="240"/>
      <w:jc w:val="both"/>
    </w:pPr>
    <w:rPr>
      <w:rFonts w:ascii="Times New Roman" w:hAnsi="Times New Roman" w:eastAsia="Times New Roman" w:cs="Times New Roman"/>
      <w:color w:val="auto"/>
      <w:sz w:val="22"/>
      <w:szCs w:val="20"/>
      <w:lang w:val="en-US" w:bidi="ar-SA" w:eastAsia="zh-CN"/>
    </w:rPr>
  </w:style>
  <w:style w:type="paragraph" w:styleId="E2Equation">
    <w:name w:val="E2-Equation"/>
    <w:basedOn w:val="E1Equation"/>
    <w:qFormat/>
    <w:pPr>
      <w:tabs>
        <w:tab w:val="clear" w:pos="4680"/>
        <w:tab w:val="clear" w:pos="9360"/>
        <w:tab w:val="right" w:pos="1152" w:leader="none"/>
        <w:tab w:val="center" w:pos="1440" w:leader="none"/>
        <w:tab w:val="left" w:pos="1728" w:leader="none"/>
      </w:tabs>
      <w:ind w:left="1728" w:hanging="1728"/>
    </w:pPr>
    <w:rPr/>
  </w:style>
  <w:style w:type="paragraph" w:styleId="Footnote">
    <w:name w:val="Footnote Text"/>
    <w:pPr>
      <w:widowControl/>
      <w:tabs>
        <w:tab w:val="clear" w:pos="720"/>
        <w:tab w:val="left" w:pos="120" w:leader="none"/>
      </w:tabs>
      <w:bidi w:val="0"/>
      <w:spacing w:lineRule="atLeast" w:line="200" w:before="120" w:after="0"/>
      <w:ind w:left="115" w:hanging="115"/>
      <w:jc w:val="both"/>
    </w:pPr>
    <w:rPr>
      <w:rFonts w:ascii="Times New Roman" w:hAnsi="Times New Roman" w:eastAsia="Times New Roman" w:cs="Times New Roman"/>
      <w:color w:val="auto"/>
      <w:sz w:val="16"/>
      <w:szCs w:val="20"/>
      <w:lang w:val="en-US" w:bidi="ar-SA" w:eastAsia="zh-CN"/>
    </w:rPr>
  </w:style>
  <w:style w:type="paragraph" w:styleId="L1FlLSp12">
    <w:name w:val="L1-FlL Sp&amp;1/2"/>
    <w:qFormat/>
    <w:pPr>
      <w:widowControl/>
      <w:tabs>
        <w:tab w:val="clear" w:pos="720"/>
        <w:tab w:val="left" w:pos="1152" w:leader="none"/>
      </w:tabs>
      <w:bidi w:val="0"/>
      <w:spacing w:lineRule="atLeast" w:line="360"/>
      <w:jc w:val="both"/>
    </w:pPr>
    <w:rPr>
      <w:rFonts w:ascii="Times New Roman" w:hAnsi="Times New Roman" w:eastAsia="Times New Roman" w:cs="Times New Roman"/>
      <w:color w:val="auto"/>
      <w:sz w:val="22"/>
      <w:szCs w:val="20"/>
      <w:lang w:val="en-US" w:bidi="ar-SA" w:eastAsia="zh-CN"/>
    </w:rPr>
  </w:style>
  <w:style w:type="paragraph" w:styleId="N0FlLftBullet">
    <w:name w:val="N0-Fl Lft Bullet"/>
    <w:basedOn w:val="Normal"/>
    <w:qFormat/>
    <w:pPr>
      <w:tabs>
        <w:tab w:val="clear" w:pos="720"/>
        <w:tab w:val="left" w:pos="576" w:leader="none"/>
      </w:tabs>
      <w:spacing w:before="0" w:after="240"/>
      <w:ind w:left="576" w:hanging="576"/>
    </w:pPr>
    <w:rPr/>
  </w:style>
  <w:style w:type="paragraph" w:styleId="N11stBullet">
    <w:name w:val="N1-1st Bullet"/>
    <w:basedOn w:val="Normal"/>
    <w:qFormat/>
    <w:pPr>
      <w:tabs>
        <w:tab w:val="clear" w:pos="720"/>
        <w:tab w:val="left" w:pos="1152" w:leader="none"/>
      </w:tabs>
      <w:spacing w:before="0" w:after="240"/>
      <w:ind w:left="1152" w:hanging="576"/>
    </w:pPr>
    <w:rPr/>
  </w:style>
  <w:style w:type="paragraph" w:styleId="N22ndBullet">
    <w:name w:val="N2-2nd Bullet"/>
    <w:basedOn w:val="Normal"/>
    <w:qFormat/>
    <w:pPr>
      <w:numPr>
        <w:ilvl w:val="0"/>
        <w:numId w:val="8"/>
      </w:numPr>
      <w:tabs>
        <w:tab w:val="clear" w:pos="720"/>
        <w:tab w:val="left" w:pos="1728" w:leader="none"/>
      </w:tabs>
      <w:spacing w:before="0" w:after="240"/>
    </w:pPr>
    <w:rPr/>
  </w:style>
  <w:style w:type="paragraph" w:styleId="N33rdBullet">
    <w:name w:val="N3-3rd Bullet"/>
    <w:basedOn w:val="Normal"/>
    <w:qFormat/>
    <w:pPr>
      <w:numPr>
        <w:ilvl w:val="0"/>
        <w:numId w:val="15"/>
      </w:numPr>
      <w:tabs>
        <w:tab w:val="clear" w:pos="720"/>
        <w:tab w:val="left" w:pos="2304" w:leader="none"/>
      </w:tabs>
      <w:spacing w:before="0" w:after="240"/>
      <w:ind w:left="2304" w:hanging="576"/>
    </w:pPr>
    <w:rPr/>
  </w:style>
  <w:style w:type="paragraph" w:styleId="N44thBullet">
    <w:name w:val="N4-4th Bullet"/>
    <w:basedOn w:val="Normal"/>
    <w:qFormat/>
    <w:pPr>
      <w:tabs>
        <w:tab w:val="clear" w:pos="720"/>
        <w:tab w:val="left" w:pos="2880" w:leader="none"/>
      </w:tabs>
      <w:spacing w:before="0" w:after="240"/>
      <w:ind w:left="2880" w:hanging="576"/>
    </w:pPr>
    <w:rPr/>
  </w:style>
  <w:style w:type="paragraph" w:styleId="N55thBullet">
    <w:name w:val="N5-5th Bullet"/>
    <w:basedOn w:val="Normal"/>
    <w:qFormat/>
    <w:pPr>
      <w:tabs>
        <w:tab w:val="clear" w:pos="720"/>
        <w:tab w:val="left" w:pos="3456" w:leader="none"/>
      </w:tabs>
      <w:spacing w:before="0" w:after="240"/>
      <w:ind w:left="3456" w:hanging="576"/>
    </w:pPr>
    <w:rPr/>
  </w:style>
  <w:style w:type="paragraph" w:styleId="N6DateInd">
    <w:name w:val="N6-Date Ind."/>
    <w:basedOn w:val="Normal"/>
    <w:qFormat/>
    <w:pPr>
      <w:tabs>
        <w:tab w:val="clear" w:pos="720"/>
        <w:tab w:val="left" w:pos="5400" w:leader="none"/>
      </w:tabs>
      <w:ind w:left="5400" w:hanging="0"/>
    </w:pPr>
    <w:rPr/>
  </w:style>
  <w:style w:type="paragraph" w:styleId="N73Block">
    <w:name w:val="N7-3&quot; Block"/>
    <w:basedOn w:val="Normal"/>
    <w:qFormat/>
    <w:pPr>
      <w:tabs>
        <w:tab w:val="clear" w:pos="720"/>
        <w:tab w:val="left" w:pos="1152" w:leader="none"/>
      </w:tabs>
      <w:ind w:left="1152" w:right="1152" w:hanging="0"/>
    </w:pPr>
    <w:rPr/>
  </w:style>
  <w:style w:type="paragraph" w:styleId="N8QxQBlock">
    <w:name w:val="N8-QxQ Block"/>
    <w:qFormat/>
    <w:pPr>
      <w:widowControl/>
      <w:tabs>
        <w:tab w:val="clear" w:pos="720"/>
        <w:tab w:val="left" w:pos="1152" w:leader="none"/>
      </w:tabs>
      <w:bidi w:val="0"/>
      <w:spacing w:lineRule="atLeast" w:line="360" w:before="0" w:after="360"/>
      <w:ind w:left="1152" w:hanging="1152"/>
      <w:jc w:val="both"/>
    </w:pPr>
    <w:rPr>
      <w:rFonts w:ascii="Times New Roman" w:hAnsi="Times New Roman" w:eastAsia="Times New Roman" w:cs="Times New Roman"/>
      <w:color w:val="auto"/>
      <w:sz w:val="22"/>
      <w:szCs w:val="20"/>
      <w:lang w:val="en-US" w:bidi="ar-SA" w:eastAsia="zh-CN"/>
    </w:rPr>
  </w:style>
  <w:style w:type="paragraph" w:styleId="Q1BestFinQ">
    <w:name w:val="Q1-Best/Fin Q"/>
    <w:qFormat/>
    <w:pPr>
      <w:widowControl/>
      <w:tabs>
        <w:tab w:val="clear" w:pos="720"/>
        <w:tab w:val="left" w:pos="1152" w:leader="none"/>
      </w:tabs>
      <w:bidi w:val="0"/>
      <w:spacing w:lineRule="atLeast" w:line="240" w:before="0" w:after="360"/>
      <w:ind w:left="1152" w:hanging="1152"/>
      <w:jc w:val="both"/>
    </w:pPr>
    <w:rPr>
      <w:rFonts w:ascii="Times New Roman" w:hAnsi="Times New Roman" w:eastAsia="Times New Roman" w:cs="Times New Roman"/>
      <w:b/>
      <w:color w:val="auto"/>
      <w:sz w:val="22"/>
      <w:szCs w:val="20"/>
      <w:lang w:val="en-US" w:bidi="ar-SA" w:eastAsia="zh-CN"/>
    </w:rPr>
  </w:style>
  <w:style w:type="paragraph" w:styleId="SHSglSpHead">
    <w:name w:val="SH-Sgl Sp Head"/>
    <w:qFormat/>
    <w:pPr>
      <w:keepNext w:val="true"/>
      <w:widowControl/>
      <w:tabs>
        <w:tab w:val="clear" w:pos="720"/>
        <w:tab w:val="left" w:pos="576" w:leader="none"/>
      </w:tabs>
      <w:bidi w:val="0"/>
      <w:spacing w:lineRule="atLeast" w:line="240"/>
      <w:ind w:left="576" w:hanging="576"/>
    </w:pPr>
    <w:rPr>
      <w:rFonts w:ascii="Times New Roman" w:hAnsi="Times New Roman" w:eastAsia="Times New Roman" w:cs="Times New Roman"/>
      <w:b/>
      <w:color w:val="auto"/>
      <w:sz w:val="22"/>
      <w:szCs w:val="20"/>
      <w:lang w:val="en-US" w:bidi="ar-SA" w:eastAsia="zh-CN"/>
    </w:rPr>
  </w:style>
  <w:style w:type="paragraph" w:styleId="SLFlLftSgl">
    <w:name w:val="SL-Fl Lft Sgl"/>
    <w:qFormat/>
    <w:pPr>
      <w:widowControl/>
      <w:bidi w:val="0"/>
      <w:spacing w:lineRule="atLeast" w:line="240"/>
      <w:jc w:val="both"/>
    </w:pPr>
    <w:rPr>
      <w:rFonts w:ascii="Times New Roman" w:hAnsi="Times New Roman" w:eastAsia="Times New Roman" w:cs="Times New Roman"/>
      <w:color w:val="auto"/>
      <w:sz w:val="22"/>
      <w:szCs w:val="20"/>
      <w:lang w:val="en-US" w:bidi="ar-SA" w:eastAsia="zh-CN"/>
    </w:rPr>
  </w:style>
  <w:style w:type="paragraph" w:styleId="SPSglSpPara">
    <w:name w:val="SP-Sgl Sp Para"/>
    <w:qFormat/>
    <w:pPr>
      <w:widowControl/>
      <w:tabs>
        <w:tab w:val="clear" w:pos="720"/>
        <w:tab w:val="left" w:pos="576" w:leader="none"/>
      </w:tabs>
      <w:bidi w:val="0"/>
      <w:spacing w:lineRule="atLeast" w:line="240"/>
      <w:ind w:firstLine="576"/>
      <w:jc w:val="both"/>
    </w:pPr>
    <w:rPr>
      <w:rFonts w:ascii="Times New Roman" w:hAnsi="Times New Roman" w:eastAsia="Times New Roman" w:cs="Times New Roman"/>
      <w:color w:val="auto"/>
      <w:sz w:val="22"/>
      <w:szCs w:val="20"/>
      <w:lang w:val="en-US" w:bidi="ar-SA" w:eastAsia="zh-CN"/>
    </w:rPr>
  </w:style>
  <w:style w:type="paragraph" w:styleId="T0ChapPgHd">
    <w:name w:val="T0-Chap/Pg Hd"/>
    <w:qFormat/>
    <w:pPr>
      <w:widowControl/>
      <w:tabs>
        <w:tab w:val="clear" w:pos="720"/>
        <w:tab w:val="left" w:pos="8640" w:leader="none"/>
      </w:tabs>
      <w:bidi w:val="0"/>
      <w:spacing w:lineRule="atLeast" w:line="240"/>
      <w:jc w:val="both"/>
    </w:pPr>
    <w:rPr>
      <w:rFonts w:ascii="Times New Roman" w:hAnsi="Times New Roman" w:eastAsia="Times New Roman" w:cs="Times New Roman"/>
      <w:color w:val="auto"/>
      <w:sz w:val="22"/>
      <w:szCs w:val="20"/>
      <w:u w:val="single"/>
      <w:lang w:val="en-US" w:bidi="ar-SA" w:eastAsia="zh-CN"/>
    </w:rPr>
  </w:style>
  <w:style w:type="paragraph" w:styleId="TTTableTitle">
    <w:name w:val="TT-Table Title"/>
    <w:qFormat/>
    <w:pPr>
      <w:widowControl/>
      <w:tabs>
        <w:tab w:val="clear" w:pos="720"/>
        <w:tab w:val="left" w:pos="1152" w:leader="none"/>
      </w:tabs>
      <w:bidi w:val="0"/>
      <w:spacing w:lineRule="atLeast" w:line="240"/>
      <w:ind w:left="1152" w:hanging="1152"/>
    </w:pPr>
    <w:rPr>
      <w:rFonts w:ascii="Times New Roman" w:hAnsi="Times New Roman" w:eastAsia="Times New Roman" w:cs="Times New Roman"/>
      <w:color w:val="auto"/>
      <w:sz w:val="22"/>
      <w:szCs w:val="20"/>
      <w:lang w:val="en-US"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z w:val="16"/>
    </w:rPr>
  </w:style>
  <w:style w:type="paragraph" w:styleId="Footer">
    <w:name w:val="Footer"/>
    <w:basedOn w:val="Normal"/>
    <w:pPr>
      <w:tabs>
        <w:tab w:val="clear" w:pos="720"/>
        <w:tab w:val="center" w:pos="4320" w:leader="none"/>
        <w:tab w:val="right" w:pos="8640" w:leader="none"/>
      </w:tabs>
    </w:pPr>
    <w:rPr/>
  </w:style>
  <w:style w:type="paragraph" w:styleId="CTContractInformation">
    <w:name w:val="CT-Contract Information"/>
    <w:qFormat/>
    <w:pPr>
      <w:widowControl/>
      <w:tabs>
        <w:tab w:val="clear" w:pos="720"/>
        <w:tab w:val="left" w:pos="1958" w:leader="none"/>
      </w:tabs>
      <w:bidi w:val="0"/>
      <w:spacing w:lineRule="exact" w:line="240"/>
    </w:pPr>
    <w:rPr>
      <w:rFonts w:ascii="Times New Roman" w:hAnsi="Times New Roman" w:eastAsia="Times New Roman" w:cs="Times New Roman"/>
      <w:vanish/>
      <w:color w:val="auto"/>
      <w:sz w:val="22"/>
      <w:szCs w:val="20"/>
      <w:lang w:val="en-US" w:bidi="ar-SA" w:eastAsia="zh-CN"/>
    </w:rPr>
  </w:style>
  <w:style w:type="paragraph" w:styleId="R1ResPara">
    <w:name w:val="R1-Res. Para"/>
    <w:qFormat/>
    <w:pPr>
      <w:widowControl/>
      <w:bidi w:val="0"/>
      <w:spacing w:lineRule="exact" w:line="240"/>
      <w:ind w:left="288" w:hanging="0"/>
      <w:jc w:val="both"/>
    </w:pPr>
    <w:rPr>
      <w:rFonts w:ascii="Times New Roman" w:hAnsi="Times New Roman" w:eastAsia="Times New Roman" w:cs="Times New Roman"/>
      <w:color w:val="auto"/>
      <w:sz w:val="22"/>
      <w:szCs w:val="20"/>
      <w:lang w:val="en-US" w:bidi="ar-SA" w:eastAsia="zh-CN"/>
    </w:rPr>
  </w:style>
  <w:style w:type="paragraph" w:styleId="R2ResBullet">
    <w:name w:val="R2-Res Bullet"/>
    <w:qFormat/>
    <w:pPr>
      <w:widowControl/>
      <w:tabs>
        <w:tab w:val="left" w:pos="720" w:leader="none"/>
      </w:tabs>
      <w:bidi w:val="0"/>
      <w:spacing w:lineRule="exact" w:line="240"/>
      <w:ind w:left="720" w:hanging="432"/>
      <w:jc w:val="both"/>
    </w:pPr>
    <w:rPr>
      <w:rFonts w:ascii="Times New Roman" w:hAnsi="Times New Roman" w:eastAsia="Times New Roman" w:cs="Times New Roman"/>
      <w:color w:val="auto"/>
      <w:sz w:val="22"/>
      <w:szCs w:val="20"/>
      <w:lang w:val="en-US" w:bidi="ar-SA" w:eastAsia="zh-CN"/>
    </w:rPr>
  </w:style>
  <w:style w:type="paragraph" w:styleId="RFReference">
    <w:name w:val="RF-Reference"/>
    <w:qFormat/>
    <w:pPr>
      <w:widowControl/>
      <w:bidi w:val="0"/>
      <w:spacing w:lineRule="exact" w:line="240"/>
      <w:ind w:left="216" w:hanging="216"/>
    </w:pPr>
    <w:rPr>
      <w:rFonts w:ascii="Times New Roman" w:hAnsi="Times New Roman" w:eastAsia="Times New Roman" w:cs="Times New Roman"/>
      <w:color w:val="auto"/>
      <w:sz w:val="22"/>
      <w:szCs w:val="20"/>
      <w:lang w:val="en-US" w:bidi="ar-SA" w:eastAsia="zh-CN"/>
    </w:rPr>
  </w:style>
  <w:style w:type="paragraph" w:styleId="RHSglSpHead">
    <w:name w:val="RH-Sgl Sp Head"/>
    <w:basedOn w:val="Normal"/>
    <w:next w:val="RLFlLftSgl"/>
    <w:qFormat/>
    <w:pPr>
      <w:keepNext w:val="true"/>
      <w:pBdr>
        <w:bottom w:val="double" w:sz="6" w:space="1" w:color="000000"/>
      </w:pBdr>
      <w:spacing w:lineRule="exact" w:line="240" w:before="0" w:after="480"/>
      <w:jc w:val="left"/>
    </w:pPr>
    <w:rPr>
      <w:b/>
    </w:rPr>
  </w:style>
  <w:style w:type="paragraph" w:styleId="RLFlLftSgl">
    <w:name w:val="RL-Fl Lft Sgl"/>
    <w:basedOn w:val="Normal"/>
    <w:qFormat/>
    <w:pPr>
      <w:keepNext w:val="true"/>
      <w:spacing w:lineRule="exact" w:line="240"/>
    </w:pPr>
    <w:rPr>
      <w:b/>
    </w:rPr>
  </w:style>
  <w:style w:type="paragraph" w:styleId="SUFlLftUndln">
    <w:name w:val="SU-Fl Lft Undln"/>
    <w:qFormat/>
    <w:pPr>
      <w:keepNext w:val="true"/>
      <w:widowControl/>
      <w:bidi w:val="0"/>
      <w:spacing w:lineRule="exact" w:line="240"/>
    </w:pPr>
    <w:rPr>
      <w:rFonts w:ascii="Times New Roman" w:hAnsi="Times New Roman" w:eastAsia="Times New Roman" w:cs="Times New Roman"/>
      <w:color w:val="auto"/>
      <w:sz w:val="22"/>
      <w:szCs w:val="20"/>
      <w:u w:val="single"/>
      <w:lang w:val="en-US" w:bidi="ar-SA" w:eastAsia="zh-CN"/>
    </w:rPr>
  </w:style>
  <w:style w:type="paragraph" w:styleId="BodyText2">
    <w:name w:val="Body Text 2"/>
    <w:basedOn w:val="Normal"/>
    <w:qFormat/>
    <w:pPr>
      <w:jc w:val="left"/>
    </w:pPr>
    <w:rPr>
      <w:rFonts w:ascii="Arial" w:hAnsi="Arial" w:cs="Arial"/>
      <w:color w:val="000000"/>
      <w:sz w:val="18"/>
    </w:rPr>
  </w:style>
  <w:style w:type="paragraph" w:styleId="BodyText3">
    <w:name w:val="Body Text 3"/>
    <w:basedOn w:val="Normal"/>
    <w:qFormat/>
    <w:pPr>
      <w:jc w:val="left"/>
    </w:pPr>
    <w:rPr>
      <w:rFonts w:ascii="Arial" w:hAnsi="Arial" w:cs="Arial"/>
      <w:color w:val="000000"/>
      <w:sz w:val="20"/>
    </w:rPr>
  </w:style>
  <w:style w:type="paragraph" w:styleId="TextBodyIndent">
    <w:name w:val="Body Text Indent"/>
    <w:basedOn w:val="Normal"/>
    <w:pPr>
      <w:spacing w:lineRule="auto" w:line="240" w:before="40" w:after="40"/>
      <w:ind w:left="360" w:hanging="0"/>
      <w:jc w:val="left"/>
    </w:pPr>
    <w:rPr>
      <w:rFonts w:ascii="Arial" w:hAnsi="Arial" w:cs="Arial"/>
      <w:color w:val="000000"/>
      <w:sz w:val="18"/>
    </w:rPr>
  </w:style>
  <w:style w:type="paragraph" w:styleId="BalloonText">
    <w:name w:val="Balloon Text"/>
    <w:basedOn w:val="Normal"/>
    <w:qFormat/>
    <w:pPr/>
    <w:rPr>
      <w:rFonts w:ascii="Tahoma" w:hAnsi="Tahoma" w:cs="Tahoma"/>
      <w:sz w:val="16"/>
      <w:szCs w:val="16"/>
    </w:rPr>
  </w:style>
  <w:style w:type="paragraph" w:styleId="PlainText">
    <w:name w:val="Plain Text"/>
    <w:basedOn w:val="Normal"/>
    <w:qFormat/>
    <w:pPr>
      <w:tabs>
        <w:tab w:val="left" w:pos="720" w:leader="none"/>
        <w:tab w:val="left" w:pos="1440" w:leader="none"/>
        <w:tab w:val="left" w:pos="2160" w:leader="none"/>
        <w:tab w:val="left" w:pos="2880" w:leader="none"/>
      </w:tabs>
      <w:spacing w:lineRule="auto" w:line="240"/>
    </w:pPr>
    <w:rPr>
      <w:rFonts w:ascii="Courier New" w:hAnsi="Courier New" w:cs="Courier New"/>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feschl@ed.gov"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package" Target="embeddings/oleObject1.pptx"/><Relationship Id="rId8" Type="http://schemas.openxmlformats.org/officeDocument/2006/relationships/image" Target="media/image2.wmf"/><Relationship Id="rId9" Type="http://schemas.openxmlformats.org/officeDocument/2006/relationships/package" Target="embeddings/oleObject2.pptx"/><Relationship Id="rId10" Type="http://schemas.openxmlformats.org/officeDocument/2006/relationships/image" Target="media/image2.wmf"/><Relationship Id="rId11" Type="http://schemas.openxmlformats.org/officeDocument/2006/relationships/package" Target="embeddings/oleObject3.pptx"/><Relationship Id="rId12" Type="http://schemas.openxmlformats.org/officeDocument/2006/relationships/image" Target="media/image2.wmf"/><Relationship Id="rId13" Type="http://schemas.openxmlformats.org/officeDocument/2006/relationships/package" Target="embeddings/oleObject4.pptx"/><Relationship Id="rId14" Type="http://schemas.openxmlformats.org/officeDocument/2006/relationships/image" Target="media/image2.wmf"/><Relationship Id="rId15" Type="http://schemas.openxmlformats.org/officeDocument/2006/relationships/package" Target="embeddings/oleObject5.pptx"/><Relationship Id="rId16" Type="http://schemas.openxmlformats.org/officeDocument/2006/relationships/image" Target="media/image2.wmf"/><Relationship Id="rId17" Type="http://schemas.openxmlformats.org/officeDocument/2006/relationships/package" Target="embeddings/oleObject6.pptx"/><Relationship Id="rId18" Type="http://schemas.openxmlformats.org/officeDocument/2006/relationships/image" Target="media/image2.wmf"/><Relationship Id="rId19" Type="http://schemas.openxmlformats.org/officeDocument/2006/relationships/package" Target="embeddings/oleObject7.pptx"/><Relationship Id="rId20" Type="http://schemas.openxmlformats.org/officeDocument/2006/relationships/image" Target="media/image2.wmf"/><Relationship Id="rId21" Type="http://schemas.openxmlformats.org/officeDocument/2006/relationships/package" Target="embeddings/oleObject8.pptx"/><Relationship Id="rId22" Type="http://schemas.openxmlformats.org/officeDocument/2006/relationships/image" Target="media/image2.wmf"/><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footer" Target="footer52.xml"/><Relationship Id="rId72" Type="http://schemas.openxmlformats.org/officeDocument/2006/relationships/footer" Target="footer53.xml"/><Relationship Id="rId73" Type="http://schemas.openxmlformats.org/officeDocument/2006/relationships/footer" Target="footer54.xml"/><Relationship Id="rId74" Type="http://schemas.openxmlformats.org/officeDocument/2006/relationships/footer" Target="footer55.xml"/><Relationship Id="rId75" Type="http://schemas.openxmlformats.org/officeDocument/2006/relationships/footer" Target="footer56.xml"/><Relationship Id="rId76" Type="http://schemas.openxmlformats.org/officeDocument/2006/relationships/footer" Target="footer57.xml"/><Relationship Id="rId77" Type="http://schemas.openxmlformats.org/officeDocument/2006/relationships/footer" Target="footer58.xml"/><Relationship Id="rId78" Type="http://schemas.openxmlformats.org/officeDocument/2006/relationships/footer" Target="footer59.xml"/><Relationship Id="rId79" Type="http://schemas.openxmlformats.org/officeDocument/2006/relationships/footer" Target="footer60.xml"/><Relationship Id="rId80" Type="http://schemas.openxmlformats.org/officeDocument/2006/relationships/footer" Target="footer61.xml"/><Relationship Id="rId81" Type="http://schemas.openxmlformats.org/officeDocument/2006/relationships/footer" Target="footer62.xml"/><Relationship Id="rId82" Type="http://schemas.openxmlformats.org/officeDocument/2006/relationships/footer" Target="footer63.xml"/><Relationship Id="rId83" Type="http://schemas.openxmlformats.org/officeDocument/2006/relationships/footer" Target="footer64.xml"/><Relationship Id="rId84" Type="http://schemas.openxmlformats.org/officeDocument/2006/relationships/footer" Target="footer65.xml"/><Relationship Id="rId85" Type="http://schemas.openxmlformats.org/officeDocument/2006/relationships/footer" Target="footer66.xml"/><Relationship Id="rId86" Type="http://schemas.openxmlformats.org/officeDocument/2006/relationships/footer" Target="footer67.xml"/><Relationship Id="rId87" Type="http://schemas.openxmlformats.org/officeDocument/2006/relationships/footer" Target="footer68.xml"/><Relationship Id="rId88" Type="http://schemas.openxmlformats.org/officeDocument/2006/relationships/footer" Target="footer69.xml"/><Relationship Id="rId89" Type="http://schemas.openxmlformats.org/officeDocument/2006/relationships/footer" Target="footer70.xml"/><Relationship Id="rId90" Type="http://schemas.openxmlformats.org/officeDocument/2006/relationships/footer" Target="footer71.xml"/><Relationship Id="rId91" Type="http://schemas.openxmlformats.org/officeDocument/2006/relationships/footnotes" Target="footnotes.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2004-11-22T19:57:00Z</dcterms:created>
  <dc:creator>Michelle Padilla</dc:creator>
  <dc:description/>
  <dc:language>en-US</dc:language>
  <cp:lastModifiedBy>shelia.hamblin</cp:lastModifiedBy>
  <cp:lastPrinted>2004-09-03T09:56:00Z</cp:lastPrinted>
  <dcterms:modified xsi:type="dcterms:W3CDTF">2004-11-23T21:18:00Z</dcterms:modified>
  <cp:revision>3</cp:revision>
  <dc:subject/>
  <dc:title>Report on Gun-Free Schools Act Implementation (MS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-256746669</vt:i4>
  </property>
  <property fmtid="{D5CDD505-2E9C-101B-9397-08002B2CF9AE}" pid="3" name="_AuthorEmail">
    <vt:lpwstr>KarenGray-Adams@Westat.com</vt:lpwstr>
  </property>
  <property fmtid="{D5CDD505-2E9C-101B-9397-08002B2CF9AE}" pid="4" name="_AuthorEmailDisplayName">
    <vt:lpwstr>Karen Gray</vt:lpwstr>
  </property>
  <property fmtid="{D5CDD505-2E9C-101B-9397-08002B2CF9AE}" pid="5" name="_EmailSubject">
    <vt:lpwstr>2001-2002 GFSA Transmittal letter and report</vt:lpwstr>
  </property>
  <property fmtid="{D5CDD505-2E9C-101B-9397-08002B2CF9AE}" pid="6" name="_PreviousAdHocReviewCycleID">
    <vt:i4>-890277530</vt:i4>
  </property>
</Properties>
</file>