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24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Смесь сухофруктов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225</w:t>
            </w:r>
          </w:p>
        </w:tc>
        <w:tc>
          <w:tcPr>
            <w:tcW w:type="dxa" w:w="1718"/>
          </w:tcPr>
          <w:p>
            <w:r>
              <w:t>18</w:t>
            </w:r>
          </w:p>
        </w:tc>
        <w:tc>
          <w:tcPr>
            <w:tcW w:type="dxa" w:w="1610"/>
          </w:tcPr>
          <w:p>
            <w:r>
              <w:t>4050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28</w:t>
            </w:r>
          </w:p>
        </w:tc>
        <w:tc>
          <w:tcPr>
            <w:tcW w:type="dxa" w:w="1610"/>
          </w:tcPr>
          <w:p>
            <w:r>
              <w:t>4956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Финики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240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3360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60 позиции на сумму 12366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