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Апельсины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110</w:t>
            </w:r>
          </w:p>
        </w:tc>
        <w:tc>
          <w:tcPr>
            <w:tcW w:type="dxa" w:w="1718"/>
          </w:tcPr>
          <w:p>
            <w:r>
              <w:t>11</w:t>
            </w:r>
          </w:p>
        </w:tc>
        <w:tc>
          <w:tcPr>
            <w:tcW w:type="dxa" w:w="1610"/>
          </w:tcPr>
          <w:p>
            <w:r>
              <w:t>1210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Смесь сухофруктов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225</w:t>
            </w:r>
          </w:p>
        </w:tc>
        <w:tc>
          <w:tcPr>
            <w:tcW w:type="dxa" w:w="1718"/>
          </w:tcPr>
          <w:p>
            <w:r>
              <w:t>20</w:t>
            </w:r>
          </w:p>
        </w:tc>
        <w:tc>
          <w:tcPr>
            <w:tcW w:type="dxa" w:w="1610"/>
          </w:tcPr>
          <w:p>
            <w:r>
              <w:t>4500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Сушеные бананы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177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3363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50 позиции на сумму 9073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