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120" w:before="480"/>
      </w:pPr>
      <w:r>
        <w:rPr>
          <w:rFonts w:ascii="Arial" w:cs="Arial" w:eastAsia="Arial" w:hAnsi="Arial"/>
          <w:b/>
          <w:bCs/>
          <w:color w:val="028090"/>
          <w:spacing w:val="40"/>
          <w:sz w:val="20"/>
          <w:szCs w:val="20"/>
        </w:rPr>
        <w:t xml:space="preserve">UX RESEARCH · FINTECH · 2025</w:t>
      </w:r>
    </w:p>
    <w:p>
      <w:pPr>
        <w:pStyle w:val="Heading1"/>
        <w:spacing w:after="100" w:before="0"/>
      </w:pPr>
      <w:r>
        <w:rPr>
          <w:rFonts w:ascii="Georgia" w:cs="Georgia" w:eastAsia="Georgia" w:hAnsi="Georgia"/>
          <w:b/>
          <w:bCs/>
          <w:color w:val="1E2761"/>
          <w:sz w:val="52"/>
          <w:szCs w:val="52"/>
        </w:rPr>
        <w:t xml:space="preserve">User Journey Map</w:t>
      </w:r>
    </w:p>
    <w:p>
      <w:pPr>
        <w:spacing w:after="200" w:before="0"/>
      </w:pPr>
      <w:r>
        <w:rPr>
          <w:rFonts w:ascii="Georgia" w:cs="Georgia" w:eastAsia="Georgia" w:hAnsi="Georgia"/>
          <w:color w:val="028090"/>
          <w:sz w:val="32"/>
          <w:szCs w:val="32"/>
        </w:rPr>
        <w:t xml:space="preserve">Service bancaire fintech — Entrepreneur / PME</w:t>
      </w:r>
    </w:p>
    <w:p>
      <w:pPr>
        <w:pBdr>
          <w:bottom w:val="single" w:color="028090" w:sz="6" w:space="1"/>
        </w:pBdr>
        <w:spacing w:after="120" w:before="120"/>
      </w:pPr>
      <w:r>
        <w:t xml:space="preserve"/>
      </w:r>
    </w:p>
    <w:p>
      <w:pPr>
        <w:spacing w:after="120" w:before="180" w:line="360"/>
      </w:pPr>
      <w:r>
        <w:rPr>
          <w:rFonts w:ascii="Arial" w:cs="Arial" w:eastAsia="Arial" w:hAnsi="Arial"/>
          <w:b w:val="false"/>
          <w:bCs w:val="false"/>
          <w:color w:val="2C2C2A"/>
          <w:sz w:val="22"/>
          <w:szCs w:val="22"/>
        </w:rPr>
        <w:t xml:space="preserve">Ce document présente l'analyse complète du parcours utilisateur d'un entrepreneur ou dirigeant de PME dans le cadre de l'adoption d'un service bancaire fintech. Il couvre les 6 phases du cycle de vie client, les points de contact, les émotions, les frictions et les opportunités d'amélioration.</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61" w:sz="6"/>
              <w:left w:val="single" w:color="028090" w:sz="18"/>
              <w:bottom w:val="single" w:color="1E2761" w:sz="6"/>
              <w:right w:val="single" w:color="CADCFC" w:sz="1"/>
            </w:tcBorders>
            <w:shd w:fill="E6F1FB" w:val="clear"/>
            <w:tcMar>
              <w:top w:type="dxa" w:w="200"/>
              <w:left w:type="dxa" w:w="280"/>
              <w:bottom w:type="dxa" w:w="200"/>
              <w:right w:type="dxa" w:w="280"/>
            </w:tcMar>
          </w:tcPr>
          <w:p>
            <w:pPr>
              <w:spacing w:after="80" w:before="0"/>
            </w:pPr>
            <w:r>
              <w:rPr>
                <w:rFonts w:ascii="Georgia" w:cs="Georgia" w:eastAsia="Georgia" w:hAnsi="Georgia"/>
                <w:b/>
                <w:bCs/>
                <w:color w:val="1E2761"/>
                <w:sz w:val="26"/>
                <w:szCs w:val="26"/>
              </w:rPr>
              <w:t xml:space="preserve">Résumé exécutif</w:t>
            </w:r>
          </w:p>
          <w:p>
            <w:pPr>
              <w:spacing w:after="60" w:before="0"/>
            </w:pPr>
            <w:r>
              <w:rPr>
                <w:rFonts w:ascii="Arial" w:cs="Arial" w:eastAsia="Arial" w:hAnsi="Arial"/>
                <w:color w:val="2C2C2A"/>
                <w:sz w:val="21"/>
                <w:szCs w:val="21"/>
              </w:rPr>
              <w:t xml:space="preserve">L'analyse révèle que le parcours client présente une friction maximale lors de la phase d'inscription (KYC), qui constitue le principal risque d'abandon. Une fois cette étape franchie, la satisfaction progresse rapidement et l'entrepreneur devient un ambassadeur potentiel. Les trois leviers prioritaires d'intervention sont : la simplification du KYC, la transparence tarifaire et la réactivité du support client.</w:t>
            </w:r>
          </w:p>
        </w:tc>
      </w:tr>
    </w:tbl>
    <w:p>
      <w:pPr>
        <w:spacing w:after="0" w:before="300"/>
      </w:pPr>
      <w:r>
        <w:t xml:space="preserve"/>
      </w:r>
    </w:p>
    <w:p>
      <w:r>
        <w:br w:type="page"/>
      </w:r>
    </w:p>
    <w:p>
      <w:pPr>
        <w:pStyle w:val="Heading1"/>
        <w:spacing w:after="180" w:before="360"/>
      </w:pPr>
      <w:r>
        <w:rPr>
          <w:rFonts w:ascii="Georgia" w:cs="Georgia" w:eastAsia="Georgia" w:hAnsi="Georgia"/>
          <w:b/>
          <w:bCs/>
          <w:color w:val="1E2761"/>
          <w:sz w:val="36"/>
          <w:szCs w:val="36"/>
        </w:rPr>
        <w:t xml:space="preserve">1. Contexte et objectifs</w:t>
      </w:r>
    </w:p>
    <w:p>
      <w:pPr>
        <w:pBdr>
          <w:bottom w:val="single" w:color="1E2761" w:sz="6" w:space="1"/>
        </w:pBdr>
        <w:spacing w:after="120" w:before="120"/>
      </w:pPr>
      <w:r>
        <w:t xml:space="preserve"/>
      </w:r>
    </w:p>
    <w:p>
      <w:pPr>
        <w:spacing w:after="0" w:before="80"/>
      </w:pPr>
      <w:r>
        <w:t xml:space="preserve"/>
      </w:r>
    </w:p>
    <w:p>
      <w:pPr>
        <w:pStyle w:val="Heading2"/>
        <w:spacing w:after="120" w:before="280"/>
      </w:pPr>
      <w:r>
        <w:rPr>
          <w:rFonts w:ascii="Georgia" w:cs="Georgia" w:eastAsia="Georgia" w:hAnsi="Georgia"/>
          <w:b/>
          <w:bCs/>
          <w:color w:val="028090"/>
          <w:sz w:val="28"/>
          <w:szCs w:val="28"/>
        </w:rPr>
        <w:t xml:space="preserve">1.1 Problématique</w:t>
      </w:r>
    </w:p>
    <w:p>
      <w:pPr>
        <w:spacing w:after="80" w:before="80" w:line="360"/>
      </w:pPr>
      <w:r>
        <w:rPr>
          <w:rFonts w:ascii="Arial" w:cs="Arial" w:eastAsia="Arial" w:hAnsi="Arial"/>
          <w:b w:val="false"/>
          <w:bCs w:val="false"/>
          <w:color w:val="2C2C2A"/>
          <w:sz w:val="22"/>
          <w:szCs w:val="22"/>
        </w:rPr>
        <w:t xml:space="preserve">Le marché des services bancaires pour PME en Afrique de l'Ouest est en pleine transformation. Les fintechs y jouent un rôle croissant, mais font face à un défi majeur : convaincre des entrepreneurs habitués aux banques traditionnelles d'adopter des solutions 100 % numériques.</w:t>
      </w:r>
    </w:p>
    <w:p>
      <w:pPr>
        <w:spacing w:after="120" w:before="40" w:line="360"/>
      </w:pPr>
      <w:r>
        <w:rPr>
          <w:rFonts w:ascii="Arial" w:cs="Arial" w:eastAsia="Arial" w:hAnsi="Arial"/>
          <w:b w:val="false"/>
          <w:bCs w:val="false"/>
          <w:color w:val="2C2C2A"/>
          <w:sz w:val="22"/>
          <w:szCs w:val="22"/>
        </w:rPr>
        <w:t xml:space="preserve">Cette analyse vise à cartographier précisément l'expérience vécue par un entrepreneur au cours de son processus d'adoption, afin d'identifier les points de friction et les leviers d'amélioration.</w:t>
      </w:r>
    </w:p>
    <w:p>
      <w:pPr>
        <w:pStyle w:val="Heading2"/>
        <w:spacing w:after="120" w:before="280"/>
      </w:pPr>
      <w:r>
        <w:rPr>
          <w:rFonts w:ascii="Georgia" w:cs="Georgia" w:eastAsia="Georgia" w:hAnsi="Georgia"/>
          <w:b/>
          <w:bCs/>
          <w:color w:val="028090"/>
          <w:sz w:val="28"/>
          <w:szCs w:val="28"/>
        </w:rPr>
        <w:t xml:space="preserve">1.2 Méthodologie</w:t>
      </w:r>
    </w:p>
    <w:p>
      <w:pPr>
        <w:spacing w:after="60" w:before="80" w:line="360"/>
      </w:pPr>
      <w:r>
        <w:rPr>
          <w:rFonts w:ascii="Arial" w:cs="Arial" w:eastAsia="Arial" w:hAnsi="Arial"/>
          <w:b w:val="false"/>
          <w:bCs w:val="false"/>
          <w:color w:val="2C2C2A"/>
          <w:sz w:val="22"/>
          <w:szCs w:val="22"/>
        </w:rPr>
        <w:t xml:space="preserve">La User Journey Map a été construite sur la base des dimensions suivantes :</w:t>
      </w:r>
    </w:p>
    <w:p>
      <w:pPr>
        <w:pStyle w:val="ListParagraph"/>
        <w:numPr>
          <w:ilvl w:val="0"/>
          <w:numId w:val="2"/>
        </w:numPr>
        <w:spacing w:after="60" w:before="60" w:line="340"/>
      </w:pPr>
      <w:r>
        <w:rPr>
          <w:rFonts w:ascii="Arial" w:cs="Arial" w:eastAsia="Arial" w:hAnsi="Arial"/>
          <w:b w:val="false"/>
          <w:bCs w:val="false"/>
          <w:color w:val="2C2C2A"/>
          <w:sz w:val="22"/>
          <w:szCs w:val="22"/>
        </w:rPr>
        <w:t xml:space="preserve">Actions : ce que fait concrètement l'utilisateur à chaque étape</w:t>
      </w:r>
    </w:p>
    <w:p>
      <w:pPr>
        <w:pStyle w:val="ListParagraph"/>
        <w:numPr>
          <w:ilvl w:val="0"/>
          <w:numId w:val="2"/>
        </w:numPr>
        <w:spacing w:after="60" w:before="60" w:line="340"/>
      </w:pPr>
      <w:r>
        <w:rPr>
          <w:rFonts w:ascii="Arial" w:cs="Arial" w:eastAsia="Arial" w:hAnsi="Arial"/>
          <w:b w:val="false"/>
          <w:bCs w:val="false"/>
          <w:color w:val="2C2C2A"/>
          <w:sz w:val="22"/>
          <w:szCs w:val="22"/>
        </w:rPr>
        <w:t xml:space="preserve">Points de contact : les canaux et interfaces avec lesquels il interagit</w:t>
      </w:r>
    </w:p>
    <w:p>
      <w:pPr>
        <w:pStyle w:val="ListParagraph"/>
        <w:numPr>
          <w:ilvl w:val="0"/>
          <w:numId w:val="2"/>
        </w:numPr>
        <w:spacing w:after="60" w:before="60" w:line="340"/>
      </w:pPr>
      <w:r>
        <w:rPr>
          <w:rFonts w:ascii="Arial" w:cs="Arial" w:eastAsia="Arial" w:hAnsi="Arial"/>
          <w:b w:val="false"/>
          <w:bCs w:val="false"/>
          <w:color w:val="2C2C2A"/>
          <w:sz w:val="22"/>
          <w:szCs w:val="22"/>
        </w:rPr>
        <w:t xml:space="preserve">Pensées : ce qu'il se dit intérieurement, ses interrogations</w:t>
      </w:r>
    </w:p>
    <w:p>
      <w:pPr>
        <w:pStyle w:val="ListParagraph"/>
        <w:numPr>
          <w:ilvl w:val="0"/>
          <w:numId w:val="2"/>
        </w:numPr>
        <w:spacing w:after="60" w:before="60" w:line="340"/>
      </w:pPr>
      <w:r>
        <w:rPr>
          <w:rFonts w:ascii="Arial" w:cs="Arial" w:eastAsia="Arial" w:hAnsi="Arial"/>
          <w:b w:val="false"/>
          <w:bCs w:val="false"/>
          <w:color w:val="2C2C2A"/>
          <w:sz w:val="22"/>
          <w:szCs w:val="22"/>
        </w:rPr>
        <w:t xml:space="preserve">Émotions : son état affectif tout au long du parcours</w:t>
      </w:r>
    </w:p>
    <w:p>
      <w:pPr>
        <w:pStyle w:val="ListParagraph"/>
        <w:numPr>
          <w:ilvl w:val="0"/>
          <w:numId w:val="2"/>
        </w:numPr>
        <w:spacing w:after="60" w:before="60" w:line="340"/>
      </w:pPr>
      <w:r>
        <w:rPr>
          <w:rFonts w:ascii="Arial" w:cs="Arial" w:eastAsia="Arial" w:hAnsi="Arial"/>
          <w:b w:val="false"/>
          <w:bCs w:val="false"/>
          <w:color w:val="2C2C2A"/>
          <w:sz w:val="22"/>
          <w:szCs w:val="22"/>
        </w:rPr>
        <w:t xml:space="preserve">Points de douleur : les frictions et obstacles rencontrés</w:t>
      </w:r>
    </w:p>
    <w:p>
      <w:pPr>
        <w:pStyle w:val="ListParagraph"/>
        <w:numPr>
          <w:ilvl w:val="0"/>
          <w:numId w:val="2"/>
        </w:numPr>
        <w:spacing w:after="60" w:before="60" w:line="340"/>
      </w:pPr>
      <w:r>
        <w:rPr>
          <w:rFonts w:ascii="Arial" w:cs="Arial" w:eastAsia="Arial" w:hAnsi="Arial"/>
          <w:b w:val="false"/>
          <w:bCs w:val="false"/>
          <w:color w:val="2C2C2A"/>
          <w:sz w:val="22"/>
          <w:szCs w:val="22"/>
        </w:rPr>
        <w:t xml:space="preserve">Opportunités : les pistes d'amélioration identifiées</w:t>
      </w:r>
    </w:p>
    <w:p>
      <w:pPr>
        <w:spacing w:after="0" w:before="120"/>
      </w:pPr>
      <w:r>
        <w:t xml:space="preserve"/>
      </w:r>
    </w:p>
    <w:p>
      <w:pPr>
        <w:pStyle w:val="Heading2"/>
        <w:spacing w:after="120" w:before="280"/>
      </w:pPr>
      <w:r>
        <w:rPr>
          <w:rFonts w:ascii="Georgia" w:cs="Georgia" w:eastAsia="Georgia" w:hAnsi="Georgia"/>
          <w:b/>
          <w:bCs/>
          <w:color w:val="028090"/>
          <w:sz w:val="28"/>
          <w:szCs w:val="28"/>
        </w:rPr>
        <w:t xml:space="preserve">1.3 Persona principal : Karim B., Fondateur de PME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single" w:color="1D9E75" w:sz="12"/>
              <w:bottom w:val="none" w:color="FFFFFF" w:sz="0"/>
              <w:right w:val="none" w:color="FFFFFF" w:sz="0"/>
            </w:tcBorders>
            <w:shd w:fill="E1F5EE" w:val="clear"/>
            <w:tcMar>
              <w:top w:type="dxa" w:w="120"/>
              <w:left w:type="dxa" w:w="160"/>
              <w:bottom w:type="dxa" w:w="120"/>
              <w:right w:type="dxa" w:w="80"/>
            </w:tcMar>
            <w:vAlign w:val="center"/>
          </w:tcPr>
          <w:p>
            <w:r>
              <w:rPr>
                <w:rFonts w:ascii="Arial" w:cs="Arial" w:eastAsia="Arial" w:hAnsi="Arial"/>
                <w:b/>
                <w:bCs/>
                <w:color w:val="1D9E75"/>
                <w:sz w:val="20"/>
                <w:szCs w:val="20"/>
              </w:rPr>
              <w:t xml:space="preserve">Profil</w:t>
            </w:r>
          </w:p>
        </w:tc>
        <w:tc>
          <w:tcPr>
            <w:tcW w:type="dxa" w:w="7920"/>
            <w:tcBorders>
              <w:top w:val="none" w:color="FFFFFF" w:sz="0"/>
              <w:left w:val="none" w:color="FFFFFF" w:sz="0"/>
              <w:bottom w:val="none" w:color="FFFFFF" w:sz="0"/>
              <w:right w:val="none" w:color="FFFFFF" w:sz="0"/>
            </w:tcBorders>
            <w:shd w:fill="E1F5EE" w:val="clear"/>
            <w:tcMar>
              <w:top w:type="dxa" w:w="120"/>
              <w:left w:type="dxa" w:w="160"/>
              <w:bottom w:type="dxa" w:w="120"/>
              <w:right w:type="dxa" w:w="160"/>
            </w:tcMar>
          </w:tcPr>
          <w:p>
            <w:r>
              <w:rPr>
                <w:rFonts w:ascii="Arial" w:cs="Arial" w:eastAsia="Arial" w:hAnsi="Arial"/>
                <w:color w:val="2C2C2A"/>
                <w:sz w:val="20"/>
                <w:szCs w:val="20"/>
              </w:rPr>
              <w:t xml:space="preserve">Homme, 38 ans, fondateur d'une PME de 12 salariés dans le secteur des services B2B à Dakar. Expérience de 10 ans en gestion d'entreprise.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single" w:color="185FA5" w:sz="12"/>
              <w:bottom w:val="none" w:color="FFFFFF" w:sz="0"/>
              <w:right w:val="none" w:color="FFFFFF" w:sz="0"/>
            </w:tcBorders>
            <w:shd w:fill="E6F1FB" w:val="clear"/>
            <w:tcMar>
              <w:top w:type="dxa" w:w="120"/>
              <w:left w:type="dxa" w:w="160"/>
              <w:bottom w:type="dxa" w:w="120"/>
              <w:right w:type="dxa" w:w="80"/>
            </w:tcMar>
            <w:vAlign w:val="center"/>
          </w:tcPr>
          <w:p>
            <w:r>
              <w:rPr>
                <w:rFonts w:ascii="Arial" w:cs="Arial" w:eastAsia="Arial" w:hAnsi="Arial"/>
                <w:b/>
                <w:bCs/>
                <w:color w:val="185FA5"/>
                <w:sz w:val="20"/>
                <w:szCs w:val="20"/>
              </w:rPr>
              <w:t xml:space="preserve">Besoins</w:t>
            </w:r>
          </w:p>
        </w:tc>
        <w:tc>
          <w:tcPr>
            <w:tcW w:type="dxa" w:w="7920"/>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color w:val="2C2C2A"/>
                <w:sz w:val="20"/>
                <w:szCs w:val="20"/>
              </w:rPr>
              <w:t xml:space="preserve">Ouvrir un compte pro rapidement, gérer virements et factures depuis une seule app, obtenir un IBAN et une carte entreprise en 48h.</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single" w:color="D85A30" w:sz="12"/>
              <w:bottom w:val="none" w:color="FFFFFF" w:sz="0"/>
              <w:right w:val="none" w:color="FFFFFF" w:sz="0"/>
            </w:tcBorders>
            <w:shd w:fill="FAECE7" w:val="clear"/>
            <w:tcMar>
              <w:top w:type="dxa" w:w="120"/>
              <w:left w:type="dxa" w:w="160"/>
              <w:bottom w:type="dxa" w:w="120"/>
              <w:right w:type="dxa" w:w="80"/>
            </w:tcMar>
            <w:vAlign w:val="center"/>
          </w:tcPr>
          <w:p>
            <w:r>
              <w:rPr>
                <w:rFonts w:ascii="Arial" w:cs="Arial" w:eastAsia="Arial" w:hAnsi="Arial"/>
                <w:b/>
                <w:bCs/>
                <w:color w:val="D85A30"/>
                <w:sz w:val="20"/>
                <w:szCs w:val="20"/>
              </w:rPr>
              <w:t xml:space="preserve">Frustrations</w:t>
            </w:r>
          </w:p>
        </w:tc>
        <w:tc>
          <w:tcPr>
            <w:tcW w:type="dxa" w:w="7920"/>
            <w:tcBorders>
              <w:top w:val="none" w:color="FFFFFF" w:sz="0"/>
              <w:left w:val="none" w:color="FFFFFF" w:sz="0"/>
              <w:bottom w:val="none" w:color="FFFFFF" w:sz="0"/>
              <w:right w:val="none" w:color="FFFFFF" w:sz="0"/>
            </w:tcBorders>
            <w:shd w:fill="FAECE7" w:val="clear"/>
            <w:tcMar>
              <w:top w:type="dxa" w:w="120"/>
              <w:left w:type="dxa" w:w="160"/>
              <w:bottom w:type="dxa" w:w="120"/>
              <w:right w:type="dxa" w:w="160"/>
            </w:tcMar>
          </w:tcPr>
          <w:p>
            <w:r>
              <w:rPr>
                <w:rFonts w:ascii="Arial" w:cs="Arial" w:eastAsia="Arial" w:hAnsi="Arial"/>
                <w:color w:val="2C2C2A"/>
                <w:sz w:val="20"/>
                <w:szCs w:val="20"/>
              </w:rPr>
              <w:t xml:space="preserve">Processus d'ouverture longs, manque de transparence sur les frais, support client peu adapté aux urgences business.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single" w:color="534AB7" w:sz="12"/>
              <w:bottom w:val="none" w:color="FFFFFF" w:sz="0"/>
              <w:right w:val="none" w:color="FFFFFF" w:sz="0"/>
            </w:tcBorders>
            <w:shd w:fill="EEEDFE" w:val="clear"/>
            <w:tcMar>
              <w:top w:type="dxa" w:w="120"/>
              <w:left w:type="dxa" w:w="160"/>
              <w:bottom w:type="dxa" w:w="120"/>
              <w:right w:type="dxa" w:w="80"/>
            </w:tcMar>
            <w:vAlign w:val="center"/>
          </w:tcPr>
          <w:p>
            <w:r>
              <w:rPr>
                <w:rFonts w:ascii="Arial" w:cs="Arial" w:eastAsia="Arial" w:hAnsi="Arial"/>
                <w:b/>
                <w:bCs/>
                <w:color w:val="534AB7"/>
                <w:sz w:val="20"/>
                <w:szCs w:val="20"/>
              </w:rPr>
              <w:t xml:space="preserve">Objectifs</w:t>
            </w:r>
          </w:p>
        </w:tc>
        <w:tc>
          <w:tcPr>
            <w:tcW w:type="dxa" w:w="7920"/>
            <w:tcBorders>
              <w:top w:val="none" w:color="FFFFFF" w:sz="0"/>
              <w:left w:val="none" w:color="FFFFFF" w:sz="0"/>
              <w:bottom w:val="none" w:color="FFFFFF" w:sz="0"/>
              <w:right w:val="none" w:color="FFFFFF" w:sz="0"/>
            </w:tcBorders>
            <w:shd w:fill="EEEDFE" w:val="clear"/>
            <w:tcMar>
              <w:top w:type="dxa" w:w="120"/>
              <w:left w:type="dxa" w:w="160"/>
              <w:bottom w:type="dxa" w:w="120"/>
              <w:right w:type="dxa" w:w="160"/>
            </w:tcMar>
          </w:tcPr>
          <w:p>
            <w:r>
              <w:rPr>
                <w:rFonts w:ascii="Arial" w:cs="Arial" w:eastAsia="Arial" w:hAnsi="Arial"/>
                <w:color w:val="2C2C2A"/>
                <w:sz w:val="20"/>
                <w:szCs w:val="20"/>
              </w:rPr>
              <w:t xml:space="preserve">Gagner du temps sur la gestion financière, sécuriser les flux de sa PME, disposer d'outils analytiques pour piloter la trésorerie.</w:t>
            </w:r>
          </w:p>
        </w:tc>
      </w:tr>
    </w:tbl>
    <w:p>
      <w:pPr>
        <w:spacing w:after="0" w:before="200"/>
      </w:pPr>
      <w:r>
        <w:t xml:space="preserve"/>
      </w:r>
    </w:p>
    <w:p>
      <w:r>
        <w:br w:type="page"/>
      </w:r>
    </w:p>
    <w:p>
      <w:pPr>
        <w:pStyle w:val="Heading1"/>
        <w:spacing w:after="180" w:before="360"/>
      </w:pPr>
      <w:r>
        <w:rPr>
          <w:rFonts w:ascii="Georgia" w:cs="Georgia" w:eastAsia="Georgia" w:hAnsi="Georgia"/>
          <w:b/>
          <w:bCs/>
          <w:color w:val="1E2761"/>
          <w:sz w:val="36"/>
          <w:szCs w:val="36"/>
        </w:rPr>
        <w:t xml:space="preserve">2. Les 6 phases du parcours utilisateur</w:t>
      </w:r>
    </w:p>
    <w:p>
      <w:pPr>
        <w:pBdr>
          <w:bottom w:val="single" w:color="1E2761" w:sz="6" w:space="1"/>
        </w:pBdr>
        <w:spacing w:after="120" w:before="120"/>
      </w:pPr>
      <w:r>
        <w:t xml:space="preserve"/>
      </w:r>
    </w:p>
    <w:p>
      <w:pPr>
        <w:spacing w:after="0" w:before="80"/>
      </w:pPr>
      <w:r>
        <w:t xml:space="preserve"/>
      </w:r>
    </w:p>
    <w:p>
      <w:pPr>
        <w:pStyle w:val="Heading2"/>
        <w:spacing w:after="120" w:before="280"/>
      </w:pPr>
      <w:r>
        <w:rPr>
          <w:rFonts w:ascii="Georgia" w:cs="Georgia" w:eastAsia="Georgia" w:hAnsi="Georgia"/>
          <w:b/>
          <w:bCs/>
          <w:color w:val="028090"/>
          <w:sz w:val="28"/>
          <w:szCs w:val="28"/>
        </w:rPr>
        <w:t xml:space="preserve">Phase 1 — Découverte</w:t>
      </w:r>
    </w:p>
    <w:p>
      <w:pPr>
        <w:spacing w:after="80" w:before="220"/>
      </w:pPr>
      <w:r>
        <w:rPr>
          <w:rFonts w:ascii="Arial" w:cs="Arial" w:eastAsia="Arial" w:hAnsi="Arial"/>
          <w:b/>
          <w:bCs/>
          <w:color w:val="534AB7"/>
          <w:sz w:val="24"/>
          <w:szCs w:val="24"/>
        </w:rPr>
        <w:t xml:space="preserve">Actions de l'utilisateur</w:t>
      </w:r>
    </w:p>
    <w:p>
      <w:pPr>
        <w:spacing w:after="60" w:before="60" w:line="360"/>
      </w:pPr>
      <w:r>
        <w:rPr>
          <w:rFonts w:ascii="Arial" w:cs="Arial" w:eastAsia="Arial" w:hAnsi="Arial"/>
          <w:b w:val="false"/>
          <w:bCs w:val="false"/>
          <w:color w:val="2C2C2A"/>
          <w:sz w:val="22"/>
          <w:szCs w:val="22"/>
        </w:rPr>
        <w:t xml:space="preserve">L'entrepreneur prend conscience de son besoin d'un compte professionnel adapté à sa PME. Il effectue des recherches via Google, consulte son réseau professionnel et voit des publicités ciblées sur les réseaux sociaux.</w:t>
      </w:r>
    </w:p>
    <w:p>
      <w:pPr>
        <w:spacing w:after="80" w:before="220"/>
      </w:pPr>
      <w:r>
        <w:rPr>
          <w:rFonts w:ascii="Arial" w:cs="Arial" w:eastAsia="Arial" w:hAnsi="Arial"/>
          <w:b/>
          <w:bCs/>
          <w:color w:val="534AB7"/>
          <w:sz w:val="24"/>
          <w:szCs w:val="24"/>
        </w:rPr>
        <w:t xml:space="preserve">Émotion : Curieux (légèrement méfiant)</w:t>
      </w:r>
    </w:p>
    <w:p>
      <w:pPr>
        <w:spacing w:after="60" w:before="60" w:line="360"/>
      </w:pPr>
      <w:r>
        <w:rPr>
          <w:rFonts w:ascii="Arial" w:cs="Arial" w:eastAsia="Arial" w:hAnsi="Arial"/>
          <w:b w:val="false"/>
          <w:bCs w:val="false"/>
          <w:color w:val="2C2C2A"/>
          <w:sz w:val="22"/>
          <w:szCs w:val="22"/>
        </w:rPr>
        <w:t xml:space="preserve">À ce stade, Karim est dans une posture d'exploration neutre. Il n'est pas encore engagé et évalue plusieurs options en parallèle.</w:t>
      </w:r>
    </w:p>
    <w:p>
      <w:pPr>
        <w:spacing w:after="80" w:before="220"/>
      </w:pPr>
      <w:r>
        <w:rPr>
          <w:rFonts w:ascii="Arial" w:cs="Arial" w:eastAsia="Arial" w:hAnsi="Arial"/>
          <w:b/>
          <w:bCs/>
          <w:color w:val="534AB7"/>
          <w:sz w:val="24"/>
          <w:szCs w:val="24"/>
        </w:rPr>
        <w:t xml:space="preserve">Points de contact</w:t>
      </w:r>
    </w:p>
    <w:p>
      <w:pPr>
        <w:pStyle w:val="ListParagraph"/>
        <w:numPr>
          <w:ilvl w:val="0"/>
          <w:numId w:val="2"/>
        </w:numPr>
        <w:spacing w:after="60" w:before="60" w:line="340"/>
      </w:pPr>
      <w:r>
        <w:rPr>
          <w:rFonts w:ascii="Arial" w:cs="Arial" w:eastAsia="Arial" w:hAnsi="Arial"/>
          <w:b w:val="false"/>
          <w:bCs w:val="false"/>
          <w:color w:val="2C2C2A"/>
          <w:sz w:val="22"/>
          <w:szCs w:val="22"/>
        </w:rPr>
        <w:t xml:space="preserve">Moteurs de recherche (Google, Bing)</w:t>
      </w:r>
    </w:p>
    <w:p>
      <w:pPr>
        <w:pStyle w:val="ListParagraph"/>
        <w:numPr>
          <w:ilvl w:val="0"/>
          <w:numId w:val="2"/>
        </w:numPr>
        <w:spacing w:after="60" w:before="60" w:line="340"/>
      </w:pPr>
      <w:r>
        <w:rPr>
          <w:rFonts w:ascii="Arial" w:cs="Arial" w:eastAsia="Arial" w:hAnsi="Arial"/>
          <w:b w:val="false"/>
          <w:bCs w:val="false"/>
          <w:color w:val="2C2C2A"/>
          <w:sz w:val="22"/>
          <w:szCs w:val="22"/>
        </w:rPr>
        <w:t xml:space="preserve">Réseaux sociaux (LinkedIn, Facebook)</w:t>
      </w:r>
    </w:p>
    <w:p>
      <w:pPr>
        <w:pStyle w:val="ListParagraph"/>
        <w:numPr>
          <w:ilvl w:val="0"/>
          <w:numId w:val="2"/>
        </w:numPr>
        <w:spacing w:after="60" w:before="60" w:line="340"/>
      </w:pPr>
      <w:r>
        <w:rPr>
          <w:rFonts w:ascii="Arial" w:cs="Arial" w:eastAsia="Arial" w:hAnsi="Arial"/>
          <w:b w:val="false"/>
          <w:bCs w:val="false"/>
          <w:color w:val="2C2C2A"/>
          <w:sz w:val="22"/>
          <w:szCs w:val="22"/>
        </w:rPr>
        <w:t xml:space="preserve">Bouche à oreille dans le réseau entrepreneurial</w:t>
      </w:r>
    </w:p>
    <w:p>
      <w:pPr>
        <w:spacing w:after="0" w:before="120"/>
      </w:pPr>
      <w:r>
        <w:t xml:space="preserve"/>
      </w:r>
    </w:p>
    <w:p>
      <w:pPr>
        <w:pStyle w:val="Heading2"/>
        <w:spacing w:after="120" w:before="280"/>
      </w:pPr>
      <w:r>
        <w:rPr>
          <w:rFonts w:ascii="Georgia" w:cs="Georgia" w:eastAsia="Georgia" w:hAnsi="Georgia"/>
          <w:b/>
          <w:bCs/>
          <w:color w:val="028090"/>
          <w:sz w:val="28"/>
          <w:szCs w:val="28"/>
        </w:rPr>
        <w:t xml:space="preserve">Phase 2 — Évaluation</w:t>
      </w:r>
    </w:p>
    <w:p>
      <w:pPr>
        <w:spacing w:after="80" w:before="220"/>
      </w:pPr>
      <w:r>
        <w:rPr>
          <w:rFonts w:ascii="Arial" w:cs="Arial" w:eastAsia="Arial" w:hAnsi="Arial"/>
          <w:b/>
          <w:bCs/>
          <w:color w:val="534AB7"/>
          <w:sz w:val="24"/>
          <w:szCs w:val="24"/>
        </w:rPr>
        <w:t xml:space="preserve">Actions de l'utilisateur</w:t>
      </w:r>
    </w:p>
    <w:p>
      <w:pPr>
        <w:spacing w:after="60" w:before="60" w:line="360"/>
      </w:pPr>
      <w:r>
        <w:rPr>
          <w:rFonts w:ascii="Arial" w:cs="Arial" w:eastAsia="Arial" w:hAnsi="Arial"/>
          <w:b w:val="false"/>
          <w:bCs w:val="false"/>
          <w:color w:val="2C2C2A"/>
          <w:sz w:val="22"/>
          <w:szCs w:val="22"/>
        </w:rPr>
        <w:t xml:space="preserve">Karim compare en détail les offres disponibles. Il visite les sites web des fintechs concurrentes, consulte des avis sur des plateformes spécialisées et cherche à comprendre la structure tarifaire réelle.</w:t>
      </w:r>
    </w:p>
    <w:p>
      <w:pPr>
        <w:spacing w:after="80" w:before="220"/>
      </w:pPr>
      <w:r>
        <w:rPr>
          <w:rFonts w:ascii="Arial" w:cs="Arial" w:eastAsia="Arial" w:hAnsi="Arial"/>
          <w:b/>
          <w:bCs/>
          <w:color w:val="534AB7"/>
          <w:sz w:val="24"/>
          <w:szCs w:val="24"/>
        </w:rPr>
        <w:t xml:space="preserve">Émotion : Méfiant (inquiet)</w:t>
      </w:r>
    </w:p>
    <w:p>
      <w:pPr>
        <w:spacing w:after="60" w:before="60" w:line="360"/>
      </w:pPr>
      <w:r>
        <w:rPr>
          <w:rFonts w:ascii="Arial" w:cs="Arial" w:eastAsia="Arial" w:hAnsi="Arial"/>
          <w:b w:val="false"/>
          <w:bCs w:val="false"/>
          <w:color w:val="2C2C2A"/>
          <w:sz w:val="22"/>
          <w:szCs w:val="22"/>
        </w:rPr>
        <w:t xml:space="preserve">La méfiance est forte à ce stade. Les frais cachés et la complexité des grilles tarifaires créent une anxiété qui peut stopper le processus d'adoption.</w:t>
      </w:r>
    </w:p>
    <w:p>
      <w:pPr>
        <w:spacing w:after="80" w:before="220"/>
      </w:pPr>
      <w:r>
        <w:rPr>
          <w:rFonts w:ascii="Arial" w:cs="Arial" w:eastAsia="Arial" w:hAnsi="Arial"/>
          <w:b/>
          <w:bCs/>
          <w:color w:val="534AB7"/>
          <w:sz w:val="24"/>
          <w:szCs w:val="24"/>
        </w:rPr>
        <w:t xml:space="preserve">Douleur critique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single" w:color="D85A30" w:sz="12"/>
              <w:bottom w:val="none" w:color="FFFFFF" w:sz="0"/>
              <w:right w:val="none" w:color="FFFFFF" w:sz="0"/>
            </w:tcBorders>
            <w:shd w:fill="FAECE7" w:val="clear"/>
            <w:tcMar>
              <w:top w:type="dxa" w:w="120"/>
              <w:left w:type="dxa" w:w="160"/>
              <w:bottom w:type="dxa" w:w="120"/>
              <w:right w:type="dxa" w:w="80"/>
            </w:tcMar>
            <w:vAlign w:val="center"/>
          </w:tcPr>
          <w:p>
            <w:r>
              <w:rPr>
                <w:rFonts w:ascii="Arial" w:cs="Arial" w:eastAsia="Arial" w:hAnsi="Arial"/>
                <w:b/>
                <w:bCs/>
                <w:color w:val="D85A30"/>
                <w:sz w:val="20"/>
                <w:szCs w:val="20"/>
              </w:rPr>
              <w:t xml:space="preserve">⚡ Douleur</w:t>
            </w:r>
          </w:p>
        </w:tc>
        <w:tc>
          <w:tcPr>
            <w:tcW w:type="dxa" w:w="7920"/>
            <w:tcBorders>
              <w:top w:val="none" w:color="FFFFFF" w:sz="0"/>
              <w:left w:val="none" w:color="FFFFFF" w:sz="0"/>
              <w:bottom w:val="none" w:color="FFFFFF" w:sz="0"/>
              <w:right w:val="none" w:color="FFFFFF" w:sz="0"/>
            </w:tcBorders>
            <w:shd w:fill="FAECE7" w:val="clear"/>
            <w:tcMar>
              <w:top w:type="dxa" w:w="120"/>
              <w:left w:type="dxa" w:w="160"/>
              <w:bottom w:type="dxa" w:w="120"/>
              <w:right w:type="dxa" w:w="160"/>
            </w:tcMar>
          </w:tcPr>
          <w:p>
            <w:r>
              <w:rPr>
                <w:rFonts w:ascii="Arial" w:cs="Arial" w:eastAsia="Arial" w:hAnsi="Arial"/>
                <w:color w:val="2C2C2A"/>
                <w:sz w:val="20"/>
                <w:szCs w:val="20"/>
              </w:rPr>
              <w:t xml:space="preserve">Manque de transparence tarifaire. L'entrepreneur ne trouve pas facilement le coût réel mensuel de la solution. Les frais cachés et commissions variables alimentent la méfiance.</w:t>
            </w:r>
          </w:p>
        </w:tc>
      </w:tr>
    </w:tbl>
    <w:p>
      <w:pPr>
        <w:spacing w:after="0" w:before="120"/>
      </w:pPr>
      <w:r>
        <w:t xml:space="preserve"/>
      </w:r>
    </w:p>
    <w:p>
      <w:pPr>
        <w:pStyle w:val="Heading2"/>
        <w:spacing w:after="120" w:before="280"/>
      </w:pPr>
      <w:r>
        <w:rPr>
          <w:rFonts w:ascii="Georgia" w:cs="Georgia" w:eastAsia="Georgia" w:hAnsi="Georgia"/>
          <w:b/>
          <w:bCs/>
          <w:color w:val="028090"/>
          <w:sz w:val="28"/>
          <w:szCs w:val="28"/>
        </w:rPr>
        <w:t xml:space="preserve">Phase 3 — Inscription</w:t>
      </w:r>
    </w:p>
    <w:p>
      <w:pPr>
        <w:spacing w:after="80" w:before="220"/>
      </w:pPr>
      <w:r>
        <w:rPr>
          <w:rFonts w:ascii="Arial" w:cs="Arial" w:eastAsia="Arial" w:hAnsi="Arial"/>
          <w:b/>
          <w:bCs/>
          <w:color w:val="534AB7"/>
          <w:sz w:val="24"/>
          <w:szCs w:val="24"/>
        </w:rPr>
        <w:t xml:space="preserve">Actions de l'utilisateur</w:t>
      </w:r>
    </w:p>
    <w:p>
      <w:pPr>
        <w:spacing w:after="60" w:before="60" w:line="360"/>
      </w:pPr>
      <w:r>
        <w:rPr>
          <w:rFonts w:ascii="Arial" w:cs="Arial" w:eastAsia="Arial" w:hAnsi="Arial"/>
          <w:b w:val="false"/>
          <w:bCs w:val="false"/>
          <w:color w:val="2C2C2A"/>
          <w:sz w:val="22"/>
          <w:szCs w:val="22"/>
        </w:rPr>
        <w:t xml:space="preserve">Décidé à ouvrir un compte, Karim s'engage dans le processus KYC (Know Your Customer). Il doit soumettre des documents officiels : statuts de l'entreprise, extrait Kbis, pièce d'identité, justificatif de domicile.</w:t>
      </w:r>
    </w:p>
    <w:p>
      <w:pPr>
        <w:spacing w:after="80" w:before="220"/>
      </w:pPr>
      <w:r>
        <w:rPr>
          <w:rFonts w:ascii="Arial" w:cs="Arial" w:eastAsia="Arial" w:hAnsi="Arial"/>
          <w:b/>
          <w:bCs/>
          <w:color w:val="534AB7"/>
          <w:sz w:val="24"/>
          <w:szCs w:val="24"/>
        </w:rPr>
        <w:t xml:space="preserve">Émotion : Frustré (point de friction maximal)</w:t>
      </w:r>
    </w:p>
    <w:p>
      <w:pPr>
        <w:spacing w:after="60" w:before="60" w:line="360"/>
      </w:pPr>
      <w:r>
        <w:rPr>
          <w:rFonts w:ascii="Arial" w:cs="Arial" w:eastAsia="Arial" w:hAnsi="Arial"/>
          <w:b w:val="false"/>
          <w:bCs w:val="false"/>
          <w:color w:val="2C2C2A"/>
          <w:sz w:val="22"/>
          <w:szCs w:val="22"/>
        </w:rPr>
        <w:t xml:space="preserve">C'est l'étape la plus critique du parcours. Le processus est perçu comme long, contraignant et peu adapté au format numérique. Le délai de validation génère une anxiété significative.</w:t>
      </w:r>
    </w:p>
    <w:p>
      <w:pPr>
        <w:spacing w:after="80" w:before="220"/>
      </w:pPr>
      <w:r>
        <w:rPr>
          <w:rFonts w:ascii="Arial" w:cs="Arial" w:eastAsia="Arial" w:hAnsi="Arial"/>
          <w:b/>
          <w:bCs/>
          <w:color w:val="534AB7"/>
          <w:sz w:val="24"/>
          <w:szCs w:val="24"/>
        </w:rPr>
        <w:t xml:space="preserve">Douleur critique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single" w:color="A32D2D" w:sz="12"/>
              <w:bottom w:val="none" w:color="FFFFFF" w:sz="0"/>
              <w:right w:val="none" w:color="FFFFFF" w:sz="0"/>
            </w:tcBorders>
            <w:shd w:fill="FAECE7" w:val="clear"/>
            <w:tcMar>
              <w:top w:type="dxa" w:w="120"/>
              <w:left w:type="dxa" w:w="160"/>
              <w:bottom w:type="dxa" w:w="120"/>
              <w:right w:type="dxa" w:w="80"/>
            </w:tcMar>
            <w:vAlign w:val="center"/>
          </w:tcPr>
          <w:p>
            <w:r>
              <w:rPr>
                <w:rFonts w:ascii="Arial" w:cs="Arial" w:eastAsia="Arial" w:hAnsi="Arial"/>
                <w:b/>
                <w:bCs/>
                <w:color w:val="A32D2D"/>
                <w:sz w:val="20"/>
                <w:szCs w:val="20"/>
              </w:rPr>
              <w:t xml:space="preserve">⚠️ Risque majeur</w:t>
            </w:r>
          </w:p>
        </w:tc>
        <w:tc>
          <w:tcPr>
            <w:tcW w:type="dxa" w:w="7920"/>
            <w:tcBorders>
              <w:top w:val="none" w:color="FFFFFF" w:sz="0"/>
              <w:left w:val="none" w:color="FFFFFF" w:sz="0"/>
              <w:bottom w:val="none" w:color="FFFFFF" w:sz="0"/>
              <w:right w:val="none" w:color="FFFFFF" w:sz="0"/>
            </w:tcBorders>
            <w:shd w:fill="FAECE7" w:val="clear"/>
            <w:tcMar>
              <w:top w:type="dxa" w:w="120"/>
              <w:left w:type="dxa" w:w="160"/>
              <w:bottom w:type="dxa" w:w="120"/>
              <w:right w:type="dxa" w:w="160"/>
            </w:tcMar>
          </w:tcPr>
          <w:p>
            <w:r>
              <w:rPr>
                <w:rFonts w:ascii="Arial" w:cs="Arial" w:eastAsia="Arial" w:hAnsi="Arial"/>
                <w:color w:val="2C2C2A"/>
                <w:sz w:val="20"/>
                <w:szCs w:val="20"/>
              </w:rPr>
              <w:t xml:space="preserve">Le processus KYC est le principal point d'abandon du parcours. La lourdeur administrative, le délai de traitement et le manque de feedback en temps réel poussent une part significative des candidats à abandonner.</w:t>
            </w:r>
          </w:p>
        </w:tc>
      </w:tr>
    </w:tbl>
    <w:p>
      <w:pPr>
        <w:spacing w:after="0" w:before="120"/>
      </w:pPr>
      <w:r>
        <w:t xml:space="preserve"/>
      </w:r>
    </w:p>
    <w:p>
      <w:pPr>
        <w:pStyle w:val="Heading2"/>
        <w:spacing w:after="120" w:before="280"/>
      </w:pPr>
      <w:r>
        <w:rPr>
          <w:rFonts w:ascii="Georgia" w:cs="Georgia" w:eastAsia="Georgia" w:hAnsi="Georgia"/>
          <w:b/>
          <w:bCs/>
          <w:color w:val="028090"/>
          <w:sz w:val="28"/>
          <w:szCs w:val="28"/>
        </w:rPr>
        <w:t xml:space="preserve">Phase 4 — Activation</w:t>
      </w:r>
    </w:p>
    <w:p>
      <w:pPr>
        <w:spacing w:after="80" w:before="220"/>
      </w:pPr>
      <w:r>
        <w:rPr>
          <w:rFonts w:ascii="Arial" w:cs="Arial" w:eastAsia="Arial" w:hAnsi="Arial"/>
          <w:b/>
          <w:bCs/>
          <w:color w:val="534AB7"/>
          <w:sz w:val="24"/>
          <w:szCs w:val="24"/>
        </w:rPr>
        <w:t xml:space="preserve">Actions de l'utilisateur</w:t>
      </w:r>
    </w:p>
    <w:p>
      <w:pPr>
        <w:spacing w:after="60" w:before="60" w:line="360"/>
      </w:pPr>
      <w:r>
        <w:rPr>
          <w:rFonts w:ascii="Arial" w:cs="Arial" w:eastAsia="Arial" w:hAnsi="Arial"/>
          <w:b w:val="false"/>
          <w:bCs w:val="false"/>
          <w:color w:val="2C2C2A"/>
          <w:sz w:val="22"/>
          <w:szCs w:val="22"/>
        </w:rPr>
        <w:t xml:space="preserve">Une fois le compte validé, Karim reçoit sa carte entreprise physique et son IBAN. Il configure son profil, connecte ses comptes et effectue sa première transaction test.</w:t>
      </w:r>
    </w:p>
    <w:p>
      <w:pPr>
        <w:spacing w:after="80" w:before="220"/>
      </w:pPr>
      <w:r>
        <w:rPr>
          <w:rFonts w:ascii="Arial" w:cs="Arial" w:eastAsia="Arial" w:hAnsi="Arial"/>
          <w:b/>
          <w:bCs/>
          <w:color w:val="534AB7"/>
          <w:sz w:val="24"/>
          <w:szCs w:val="24"/>
        </w:rPr>
        <w:t xml:space="preserve">Émotion : Soulagé (satisfaction croissante)</w:t>
      </w:r>
    </w:p>
    <w:p>
      <w:pPr>
        <w:spacing w:after="80" w:before="60" w:line="360"/>
      </w:pPr>
      <w:r>
        <w:rPr>
          <w:rFonts w:ascii="Arial" w:cs="Arial" w:eastAsia="Arial" w:hAnsi="Arial"/>
          <w:b w:val="false"/>
          <w:bCs w:val="false"/>
          <w:color w:val="2C2C2A"/>
          <w:sz w:val="22"/>
          <w:szCs w:val="22"/>
        </w:rPr>
        <w:t xml:space="preserve">Le soulagement succède à la frustration de l'inscription. L'entrepreneur est dans une posture positive mais encore fragile : un problème technique à ce stade pourrait briser la relation naissante.</w:t>
      </w:r>
    </w:p>
    <w:p>
      <w:pPr>
        <w:pStyle w:val="Heading2"/>
        <w:spacing w:after="120" w:before="280"/>
      </w:pPr>
      <w:r>
        <w:rPr>
          <w:rFonts w:ascii="Georgia" w:cs="Georgia" w:eastAsia="Georgia" w:hAnsi="Georgia"/>
          <w:b/>
          <w:bCs/>
          <w:color w:val="028090"/>
          <w:sz w:val="28"/>
          <w:szCs w:val="28"/>
        </w:rPr>
        <w:t xml:space="preserve">Phase 5 — Utilisation</w:t>
      </w:r>
    </w:p>
    <w:p>
      <w:pPr>
        <w:spacing w:after="80" w:before="220"/>
      </w:pPr>
      <w:r>
        <w:rPr>
          <w:rFonts w:ascii="Arial" w:cs="Arial" w:eastAsia="Arial" w:hAnsi="Arial"/>
          <w:b/>
          <w:bCs/>
          <w:color w:val="534AB7"/>
          <w:sz w:val="24"/>
          <w:szCs w:val="24"/>
        </w:rPr>
        <w:t xml:space="preserve">Actions de l'utilisateur</w:t>
      </w:r>
    </w:p>
    <w:p>
      <w:pPr>
        <w:spacing w:after="60" w:before="60" w:line="360"/>
      </w:pPr>
      <w:r>
        <w:rPr>
          <w:rFonts w:ascii="Arial" w:cs="Arial" w:eastAsia="Arial" w:hAnsi="Arial"/>
          <w:b w:val="false"/>
          <w:bCs w:val="false"/>
          <w:color w:val="2C2C2A"/>
          <w:sz w:val="22"/>
          <w:szCs w:val="22"/>
        </w:rPr>
        <w:t xml:space="preserve">Karim utilise quotidiennement le service pour gérer les virements de sa PME, émettre des factures, suivre les dépenses par catégorie et consulter son tableau de bord de trésorerie.</w:t>
      </w:r>
    </w:p>
    <w:p>
      <w:pPr>
        <w:spacing w:after="80" w:before="220"/>
      </w:pPr>
      <w:r>
        <w:rPr>
          <w:rFonts w:ascii="Arial" w:cs="Arial" w:eastAsia="Arial" w:hAnsi="Arial"/>
          <w:b/>
          <w:bCs/>
          <w:color w:val="534AB7"/>
          <w:sz w:val="24"/>
          <w:szCs w:val="24"/>
        </w:rPr>
        <w:t xml:space="preserve">Émotion : Confiant (productif)</w:t>
      </w:r>
    </w:p>
    <w:p>
      <w:pPr>
        <w:spacing w:after="80" w:before="60" w:line="360"/>
      </w:pPr>
      <w:r>
        <w:rPr>
          <w:rFonts w:ascii="Arial" w:cs="Arial" w:eastAsia="Arial" w:hAnsi="Arial"/>
          <w:b w:val="false"/>
          <w:bCs w:val="false"/>
          <w:color w:val="2C2C2A"/>
          <w:sz w:val="22"/>
          <w:szCs w:val="22"/>
        </w:rPr>
        <w:t xml:space="preserve">La satisfaction s'installe progressivement. L'entrepreneur apprécie le gain de temps et la visibilité sur ses finances. C'est la phase de validation de la valeur promise.</w:t>
      </w:r>
    </w:p>
    <w:p>
      <w:pPr>
        <w:pStyle w:val="Heading2"/>
        <w:spacing w:after="120" w:before="280"/>
      </w:pPr>
      <w:r>
        <w:rPr>
          <w:rFonts w:ascii="Georgia" w:cs="Georgia" w:eastAsia="Georgia" w:hAnsi="Georgia"/>
          <w:b/>
          <w:bCs/>
          <w:color w:val="028090"/>
          <w:sz w:val="28"/>
          <w:szCs w:val="28"/>
        </w:rPr>
        <w:t xml:space="preserve">Phase 6 — Fidélité</w:t>
      </w:r>
    </w:p>
    <w:p>
      <w:pPr>
        <w:spacing w:after="80" w:before="220"/>
      </w:pPr>
      <w:r>
        <w:rPr>
          <w:rFonts w:ascii="Arial" w:cs="Arial" w:eastAsia="Arial" w:hAnsi="Arial"/>
          <w:b/>
          <w:bCs/>
          <w:color w:val="534AB7"/>
          <w:sz w:val="24"/>
          <w:szCs w:val="24"/>
        </w:rPr>
        <w:t xml:space="preserve">Actions de l'utilisateur</w:t>
      </w:r>
    </w:p>
    <w:p>
      <w:pPr>
        <w:spacing w:after="60" w:before="60" w:line="360"/>
      </w:pPr>
      <w:r>
        <w:rPr>
          <w:rFonts w:ascii="Arial" w:cs="Arial" w:eastAsia="Arial" w:hAnsi="Arial"/>
          <w:b w:val="false"/>
          <w:bCs w:val="false"/>
          <w:color w:val="2C2C2A"/>
          <w:sz w:val="22"/>
          <w:szCs w:val="22"/>
        </w:rPr>
        <w:t xml:space="preserve">Satisfait de son expérience, Karim recommande le service à d'autres entrepreneurs de son réseau. Il explore les produits complémentaires (crédit PME, assurance, épargne) et participe aux programmes de parrainage.</w:t>
      </w:r>
    </w:p>
    <w:p>
      <w:pPr>
        <w:spacing w:after="80" w:before="220"/>
      </w:pPr>
      <w:r>
        <w:rPr>
          <w:rFonts w:ascii="Arial" w:cs="Arial" w:eastAsia="Arial" w:hAnsi="Arial"/>
          <w:b/>
          <w:bCs/>
          <w:color w:val="534AB7"/>
          <w:sz w:val="24"/>
          <w:szCs w:val="24"/>
        </w:rPr>
        <w:t xml:space="preserve">Émotion : Ambassadeur (très positif)</w:t>
      </w:r>
    </w:p>
    <w:p>
      <w:pPr>
        <w:spacing w:after="80" w:before="60" w:line="360"/>
      </w:pPr>
      <w:r>
        <w:rPr>
          <w:rFonts w:ascii="Arial" w:cs="Arial" w:eastAsia="Arial" w:hAnsi="Arial"/>
          <w:b w:val="false"/>
          <w:bCs w:val="false"/>
          <w:color w:val="2C2C2A"/>
          <w:sz w:val="22"/>
          <w:szCs w:val="22"/>
        </w:rPr>
        <w:t xml:space="preserve">C'est l'état idéal du parcours. L'entrepreneur n'est plus seulement client : il devient un vecteur d'acquisition organique pour la fintech.</w:t>
      </w:r>
    </w:p>
    <w:p>
      <w:pPr>
        <w:spacing w:after="0" w:before="120"/>
      </w:pPr>
      <w:r>
        <w:t xml:space="preserve"/>
      </w:r>
    </w:p>
    <w:p>
      <w:r>
        <w:br w:type="page"/>
      </w:r>
    </w:p>
    <w:p>
      <w:pPr>
        <w:pStyle w:val="Heading1"/>
        <w:spacing w:after="180" w:before="360"/>
      </w:pPr>
      <w:r>
        <w:rPr>
          <w:rFonts w:ascii="Georgia" w:cs="Georgia" w:eastAsia="Georgia" w:hAnsi="Georgia"/>
          <w:b/>
          <w:bCs/>
          <w:color w:val="1E2761"/>
          <w:sz w:val="36"/>
          <w:szCs w:val="36"/>
        </w:rPr>
        <w:t xml:space="preserve">3. Tableau synthétique — User Journey Map</w:t>
      </w:r>
    </w:p>
    <w:p>
      <w:pPr>
        <w:pBdr>
          <w:bottom w:val="single" w:color="1E2761" w:sz="6" w:space="1"/>
        </w:pBdr>
        <w:spacing w:after="120" w:before="120"/>
      </w:pPr>
      <w:r>
        <w:t xml:space="preserve"/>
      </w:r>
    </w:p>
    <w:p>
      <w:pPr>
        <w:spacing w:after="0" w:before="80"/>
      </w:pPr>
      <w:r>
        <w:t xml:space="preserve"/>
      </w:r>
    </w:p>
    <w:p>
      <w:pPr>
        <w:spacing w:after="120" w:before="60" w:line="360"/>
      </w:pPr>
      <w:r>
        <w:rPr>
          <w:rFonts w:ascii="Arial" w:cs="Arial" w:eastAsia="Arial" w:hAnsi="Arial"/>
          <w:b w:val="false"/>
          <w:bCs w:val="false"/>
          <w:color w:val="2C2C2A"/>
          <w:sz w:val="22"/>
          <w:szCs w:val="22"/>
        </w:rPr>
        <w:t xml:space="preserve">Le tableau ci-dessous présente l'ensemble des dimensions analysées pour chacune des 6 phases du parcours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10"/>
        <w:gridCol w:w="1310"/>
        <w:gridCol w:w="1310"/>
        <w:gridCol w:w="1310"/>
        <w:gridCol w:w="1310"/>
        <w:gridCol w:w="1310"/>
      </w:tblGrid>
      <w:tr>
        <w:tc>
          <w:tcPr>
            <w:tcW w:type="dxa" w:w="15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1310"/>
            <w:tcBorders>
              <w:top w:val="single" w:color="CCCCCC" w:sz="1"/>
              <w:left w:val="single" w:color="CCCCCC" w:sz="1"/>
              <w:bottom w:val="single" w:color="CCCCCC" w:sz="1"/>
              <w:right w:val="single" w:color="CCCCCC" w:sz="1"/>
            </w:tcBorders>
            <w:shd w:fill="534AB7" w:val="clear"/>
            <w:tcMar>
              <w:top w:type="dxa" w:w="80"/>
              <w:left w:type="dxa" w:w="80"/>
              <w:bottom w:type="dxa" w:w="80"/>
              <w:right w:type="dxa" w:w="80"/>
            </w:tcMar>
          </w:tcPr>
          <w:p>
            <w:pPr>
              <w:jc w:val="center"/>
            </w:pPr>
            <w:r>
              <w:rPr>
                <w:rFonts w:ascii="Arial" w:cs="Arial" w:eastAsia="Arial" w:hAnsi="Arial"/>
                <w:b/>
                <w:bCs/>
                <w:color w:val="FFFFFF"/>
                <w:sz w:val="16"/>
                <w:szCs w:val="16"/>
              </w:rPr>
              <w:t xml:space="preserve">Découverte</w:t>
            </w:r>
          </w:p>
        </w:tc>
        <w:tc>
          <w:tcPr>
            <w:tcW w:type="dxa" w:w="1310"/>
            <w:tcBorders>
              <w:top w:val="single" w:color="CCCCCC" w:sz="1"/>
              <w:left w:val="single" w:color="CCCCCC" w:sz="1"/>
              <w:bottom w:val="single" w:color="CCCCCC" w:sz="1"/>
              <w:right w:val="single" w:color="CCCCCC" w:sz="1"/>
            </w:tcBorders>
            <w:shd w:fill="185FA5" w:val="clear"/>
            <w:tcMar>
              <w:top w:type="dxa" w:w="80"/>
              <w:left w:type="dxa" w:w="80"/>
              <w:bottom w:type="dxa" w:w="80"/>
              <w:right w:type="dxa" w:w="80"/>
            </w:tcMar>
          </w:tcPr>
          <w:p>
            <w:pPr>
              <w:jc w:val="center"/>
            </w:pPr>
            <w:r>
              <w:rPr>
                <w:rFonts w:ascii="Arial" w:cs="Arial" w:eastAsia="Arial" w:hAnsi="Arial"/>
                <w:b/>
                <w:bCs/>
                <w:color w:val="FFFFFF"/>
                <w:sz w:val="16"/>
                <w:szCs w:val="16"/>
              </w:rPr>
              <w:t xml:space="preserve">Évaluation</w:t>
            </w:r>
          </w:p>
        </w:tc>
        <w:tc>
          <w:tcPr>
            <w:tcW w:type="dxa" w:w="1310"/>
            <w:tcBorders>
              <w:top w:val="single" w:color="CCCCCC" w:sz="1"/>
              <w:left w:val="single" w:color="CCCCCC" w:sz="1"/>
              <w:bottom w:val="single" w:color="CCCCCC" w:sz="1"/>
              <w:right w:val="single" w:color="CCCCCC" w:sz="1"/>
            </w:tcBorders>
            <w:shd w:fill="BA7517" w:val="clear"/>
            <w:tcMar>
              <w:top w:type="dxa" w:w="80"/>
              <w:left w:type="dxa" w:w="80"/>
              <w:bottom w:type="dxa" w:w="80"/>
              <w:right w:type="dxa" w:w="80"/>
            </w:tcMar>
          </w:tcPr>
          <w:p>
            <w:pPr>
              <w:jc w:val="center"/>
            </w:pPr>
            <w:r>
              <w:rPr>
                <w:rFonts w:ascii="Arial" w:cs="Arial" w:eastAsia="Arial" w:hAnsi="Arial"/>
                <w:b/>
                <w:bCs/>
                <w:color w:val="FFFFFF"/>
                <w:sz w:val="16"/>
                <w:szCs w:val="16"/>
              </w:rPr>
              <w:t xml:space="preserve">Inscription</w:t>
            </w:r>
          </w:p>
        </w:tc>
        <w:tc>
          <w:tcPr>
            <w:tcW w:type="dxa" w:w="1310"/>
            <w:tcBorders>
              <w:top w:val="single" w:color="CCCCCC" w:sz="1"/>
              <w:left w:val="single" w:color="CCCCCC" w:sz="1"/>
              <w:bottom w:val="single" w:color="CCCCCC" w:sz="1"/>
              <w:right w:val="single" w:color="CCCCCC" w:sz="1"/>
            </w:tcBorders>
            <w:shd w:fill="028090" w:val="clear"/>
            <w:tcMar>
              <w:top w:type="dxa" w:w="80"/>
              <w:left w:type="dxa" w:w="80"/>
              <w:bottom w:type="dxa" w:w="80"/>
              <w:right w:type="dxa" w:w="80"/>
            </w:tcMar>
          </w:tcPr>
          <w:p>
            <w:pPr>
              <w:jc w:val="center"/>
            </w:pPr>
            <w:r>
              <w:rPr>
                <w:rFonts w:ascii="Arial" w:cs="Arial" w:eastAsia="Arial" w:hAnsi="Arial"/>
                <w:b/>
                <w:bCs/>
                <w:color w:val="FFFFFF"/>
                <w:sz w:val="16"/>
                <w:szCs w:val="16"/>
              </w:rPr>
              <w:t xml:space="preserve">Activation</w:t>
            </w:r>
          </w:p>
        </w:tc>
        <w:tc>
          <w:tcPr>
            <w:tcW w:type="dxa" w:w="1310"/>
            <w:tcBorders>
              <w:top w:val="single" w:color="CCCCCC" w:sz="1"/>
              <w:left w:val="single" w:color="CCCCCC" w:sz="1"/>
              <w:bottom w:val="single" w:color="CCCCCC" w:sz="1"/>
              <w:right w:val="single" w:color="CCCCCC" w:sz="1"/>
            </w:tcBorders>
            <w:shd w:fill="1D9E75" w:val="clear"/>
            <w:tcMar>
              <w:top w:type="dxa" w:w="80"/>
              <w:left w:type="dxa" w:w="80"/>
              <w:bottom w:type="dxa" w:w="80"/>
              <w:right w:type="dxa" w:w="80"/>
            </w:tcMar>
          </w:tcPr>
          <w:p>
            <w:pPr>
              <w:jc w:val="center"/>
            </w:pPr>
            <w:r>
              <w:rPr>
                <w:rFonts w:ascii="Arial" w:cs="Arial" w:eastAsia="Arial" w:hAnsi="Arial"/>
                <w:b/>
                <w:bCs/>
                <w:color w:val="FFFFFF"/>
                <w:sz w:val="16"/>
                <w:szCs w:val="16"/>
              </w:rPr>
              <w:t xml:space="preserve">Utilisation</w:t>
            </w:r>
          </w:p>
        </w:tc>
        <w:tc>
          <w:tcPr>
            <w:tcW w:type="dxa" w:w="1310"/>
            <w:tcBorders>
              <w:top w:val="single" w:color="CCCCCC" w:sz="1"/>
              <w:left w:val="single" w:color="CCCCCC" w:sz="1"/>
              <w:bottom w:val="single" w:color="CCCCCC" w:sz="1"/>
              <w:right w:val="single" w:color="CCCCCC" w:sz="1"/>
            </w:tcBorders>
            <w:shd w:fill="1E2761" w:val="clear"/>
            <w:tcMar>
              <w:top w:type="dxa" w:w="80"/>
              <w:left w:type="dxa" w:w="80"/>
              <w:bottom w:type="dxa" w:w="80"/>
              <w:right w:type="dxa" w:w="80"/>
            </w:tcMar>
          </w:tcPr>
          <w:p>
            <w:pPr>
              <w:jc w:val="center"/>
            </w:pPr>
            <w:r>
              <w:rPr>
                <w:rFonts w:ascii="Arial" w:cs="Arial" w:eastAsia="Arial" w:hAnsi="Arial"/>
                <w:b/>
                <w:bCs/>
                <w:color w:val="FFFFFF"/>
                <w:sz w:val="16"/>
                <w:szCs w:val="16"/>
              </w:rPr>
              <w:t xml:space="preserve">Fidélité</w:t>
            </w:r>
          </w:p>
        </w:tc>
      </w:tr>
      <w:tr>
        <w:tc>
          <w:tcPr>
            <w:tcW w:type="dxa" w:w="15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80"/>
            </w:tcMar>
            <w:vAlign w:val="center"/>
          </w:tcPr>
          <w:p>
            <w:r>
              <w:rPr>
                <w:rFonts w:ascii="Arial" w:cs="Arial" w:eastAsia="Arial" w:hAnsi="Arial"/>
                <w:b/>
                <w:bCs/>
                <w:color w:val="2C2C2A"/>
                <w:sz w:val="18"/>
                <w:szCs w:val="18"/>
              </w:rPr>
              <w:t xml:space="preserve">Actions</w:t>
            </w:r>
          </w:p>
        </w:tc>
        <w:tc>
          <w:tcPr>
            <w:tcW w:type="dxa" w:w="131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pPr>
              <w:jc w:val="center"/>
            </w:pPr>
            <w:r>
              <w:rPr>
                <w:rFonts w:ascii="Arial" w:cs="Arial" w:eastAsia="Arial" w:hAnsi="Arial"/>
                <w:color w:val="2C2C2A"/>
                <w:sz w:val="17"/>
                <w:szCs w:val="17"/>
              </w:rPr>
              <w:t xml:space="preserve">Cherche une banque</w:t>
            </w:r>
          </w:p>
        </w:tc>
        <w:tc>
          <w:tcPr>
            <w:tcW w:type="dxa" w:w="131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pPr>
              <w:jc w:val="center"/>
            </w:pPr>
            <w:r>
              <w:rPr>
                <w:rFonts w:ascii="Arial" w:cs="Arial" w:eastAsia="Arial" w:hAnsi="Arial"/>
                <w:color w:val="2C2C2A"/>
                <w:sz w:val="17"/>
                <w:szCs w:val="17"/>
              </w:rPr>
              <w:t xml:space="preserve">Compare les offres</w:t>
            </w:r>
          </w:p>
        </w:tc>
        <w:tc>
          <w:tcPr>
            <w:tcW w:type="dxa" w:w="131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pPr>
              <w:jc w:val="center"/>
            </w:pPr>
            <w:r>
              <w:rPr>
                <w:rFonts w:ascii="Arial" w:cs="Arial" w:eastAsia="Arial" w:hAnsi="Arial"/>
                <w:color w:val="2C2C2A"/>
                <w:sz w:val="17"/>
                <w:szCs w:val="17"/>
              </w:rPr>
              <w:t xml:space="preserve">Crée un compte KYC</w:t>
            </w:r>
          </w:p>
        </w:tc>
        <w:tc>
          <w:tcPr>
            <w:tcW w:type="dxa" w:w="131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pPr>
              <w:jc w:val="center"/>
            </w:pPr>
            <w:r>
              <w:rPr>
                <w:rFonts w:ascii="Arial" w:cs="Arial" w:eastAsia="Arial" w:hAnsi="Arial"/>
                <w:color w:val="2C2C2A"/>
                <w:sz w:val="17"/>
                <w:szCs w:val="17"/>
              </w:rPr>
              <w:t xml:space="preserve">Reçoit carte/IBAN</w:t>
            </w:r>
          </w:p>
        </w:tc>
        <w:tc>
          <w:tcPr>
            <w:tcW w:type="dxa" w:w="131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pPr>
              <w:jc w:val="center"/>
            </w:pPr>
            <w:r>
              <w:rPr>
                <w:rFonts w:ascii="Arial" w:cs="Arial" w:eastAsia="Arial" w:hAnsi="Arial"/>
                <w:color w:val="2C2C2A"/>
                <w:sz w:val="17"/>
                <w:szCs w:val="17"/>
              </w:rPr>
              <w:t xml:space="preserve">Gère les finances</w:t>
            </w:r>
          </w:p>
        </w:tc>
        <w:tc>
          <w:tcPr>
            <w:tcW w:type="dxa" w:w="131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pPr>
              <w:jc w:val="center"/>
            </w:pPr>
            <w:r>
              <w:rPr>
                <w:rFonts w:ascii="Arial" w:cs="Arial" w:eastAsia="Arial" w:hAnsi="Arial"/>
                <w:color w:val="2C2C2A"/>
                <w:sz w:val="17"/>
                <w:szCs w:val="17"/>
              </w:rPr>
              <w:t xml:space="preserve">Recommande</w:t>
            </w:r>
          </w:p>
        </w:tc>
      </w:tr>
      <w:tr>
        <w:tc>
          <w:tcPr>
            <w:tcW w:type="dxa" w:w="15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80"/>
            </w:tcMar>
            <w:vAlign w:val="center"/>
          </w:tcPr>
          <w:p>
            <w:r>
              <w:rPr>
                <w:rFonts w:ascii="Arial" w:cs="Arial" w:eastAsia="Arial" w:hAnsi="Arial"/>
                <w:b/>
                <w:bCs/>
                <w:color w:val="2C2C2A"/>
                <w:sz w:val="18"/>
                <w:szCs w:val="18"/>
              </w:rPr>
              <w:t xml:space="preserve">Points de contact</w:t>
            </w:r>
          </w:p>
        </w:tc>
        <w:tc>
          <w:tcPr>
            <w:tcW w:type="dxa" w:w="1310"/>
            <w:tcBorders>
              <w:top w:val="single" w:color="CCCCCC" w:sz="1"/>
              <w:left w:val="single" w:color="CCCCCC" w:sz="1"/>
              <w:bottom w:val="single" w:color="CCCCCC" w:sz="1"/>
              <w:right w:val="single" w:color="CCCCCC" w:sz="1"/>
            </w:tcBorders>
            <w:shd w:fill="E6F1FB" w:val="clear"/>
            <w:tcMar>
              <w:top w:type="dxa" w:w="80"/>
              <w:left w:type="dxa" w:w="80"/>
              <w:bottom w:type="dxa" w:w="80"/>
              <w:right w:type="dxa" w:w="80"/>
            </w:tcMar>
          </w:tcPr>
          <w:p>
            <w:pPr>
              <w:jc w:val="center"/>
            </w:pPr>
            <w:r>
              <w:rPr>
                <w:rFonts w:ascii="Arial" w:cs="Arial" w:eastAsia="Arial" w:hAnsi="Arial"/>
                <w:color w:val="2C2C2A"/>
                <w:sz w:val="17"/>
                <w:szCs w:val="17"/>
              </w:rPr>
              <w:t xml:space="preserve">Google, réseaux sociaux</w:t>
            </w:r>
          </w:p>
        </w:tc>
        <w:tc>
          <w:tcPr>
            <w:tcW w:type="dxa" w:w="1310"/>
            <w:tcBorders>
              <w:top w:val="single" w:color="CCCCCC" w:sz="1"/>
              <w:left w:val="single" w:color="CCCCCC" w:sz="1"/>
              <w:bottom w:val="single" w:color="CCCCCC" w:sz="1"/>
              <w:right w:val="single" w:color="CCCCCC" w:sz="1"/>
            </w:tcBorders>
            <w:shd w:fill="E6F1FB" w:val="clear"/>
            <w:tcMar>
              <w:top w:type="dxa" w:w="80"/>
              <w:left w:type="dxa" w:w="80"/>
              <w:bottom w:type="dxa" w:w="80"/>
              <w:right w:type="dxa" w:w="80"/>
            </w:tcMar>
          </w:tcPr>
          <w:p>
            <w:pPr>
              <w:jc w:val="center"/>
            </w:pPr>
            <w:r>
              <w:rPr>
                <w:rFonts w:ascii="Arial" w:cs="Arial" w:eastAsia="Arial" w:hAnsi="Arial"/>
                <w:color w:val="2C2C2A"/>
                <w:sz w:val="17"/>
                <w:szCs w:val="17"/>
              </w:rPr>
              <w:t xml:space="preserve">Landing page, comparateurs</w:t>
            </w:r>
          </w:p>
        </w:tc>
        <w:tc>
          <w:tcPr>
            <w:tcW w:type="dxa" w:w="1310"/>
            <w:tcBorders>
              <w:top w:val="single" w:color="CCCCCC" w:sz="1"/>
              <w:left w:val="single" w:color="CCCCCC" w:sz="1"/>
              <w:bottom w:val="single" w:color="CCCCCC" w:sz="1"/>
              <w:right w:val="single" w:color="CCCCCC" w:sz="1"/>
            </w:tcBorders>
            <w:shd w:fill="E6F1FB" w:val="clear"/>
            <w:tcMar>
              <w:top w:type="dxa" w:w="80"/>
              <w:left w:type="dxa" w:w="80"/>
              <w:bottom w:type="dxa" w:w="80"/>
              <w:right w:type="dxa" w:w="80"/>
            </w:tcMar>
          </w:tcPr>
          <w:p>
            <w:pPr>
              <w:jc w:val="center"/>
            </w:pPr>
            <w:r>
              <w:rPr>
                <w:rFonts w:ascii="Arial" w:cs="Arial" w:eastAsia="Arial" w:hAnsi="Arial"/>
                <w:color w:val="2C2C2A"/>
                <w:sz w:val="17"/>
                <w:szCs w:val="17"/>
              </w:rPr>
              <w:t xml:space="preserve">App mobile, site web</w:t>
            </w:r>
          </w:p>
        </w:tc>
        <w:tc>
          <w:tcPr>
            <w:tcW w:type="dxa" w:w="1310"/>
            <w:tcBorders>
              <w:top w:val="single" w:color="CCCCCC" w:sz="1"/>
              <w:left w:val="single" w:color="CCCCCC" w:sz="1"/>
              <w:bottom w:val="single" w:color="CCCCCC" w:sz="1"/>
              <w:right w:val="single" w:color="CCCCCC" w:sz="1"/>
            </w:tcBorders>
            <w:shd w:fill="E6F1FB" w:val="clear"/>
            <w:tcMar>
              <w:top w:type="dxa" w:w="80"/>
              <w:left w:type="dxa" w:w="80"/>
              <w:bottom w:type="dxa" w:w="80"/>
              <w:right w:type="dxa" w:w="80"/>
            </w:tcMar>
          </w:tcPr>
          <w:p>
            <w:pPr>
              <w:jc w:val="center"/>
            </w:pPr>
            <w:r>
              <w:rPr>
                <w:rFonts w:ascii="Arial" w:cs="Arial" w:eastAsia="Arial" w:hAnsi="Arial"/>
                <w:color w:val="2C2C2A"/>
                <w:sz w:val="17"/>
                <w:szCs w:val="17"/>
              </w:rPr>
              <w:t xml:space="preserve">Email + App mobile</w:t>
            </w:r>
          </w:p>
        </w:tc>
        <w:tc>
          <w:tcPr>
            <w:tcW w:type="dxa" w:w="1310"/>
            <w:tcBorders>
              <w:top w:val="single" w:color="CCCCCC" w:sz="1"/>
              <w:left w:val="single" w:color="CCCCCC" w:sz="1"/>
              <w:bottom w:val="single" w:color="CCCCCC" w:sz="1"/>
              <w:right w:val="single" w:color="CCCCCC" w:sz="1"/>
            </w:tcBorders>
            <w:shd w:fill="E6F1FB" w:val="clear"/>
            <w:tcMar>
              <w:top w:type="dxa" w:w="80"/>
              <w:left w:type="dxa" w:w="80"/>
              <w:bottom w:type="dxa" w:w="80"/>
              <w:right w:type="dxa" w:w="80"/>
            </w:tcMar>
          </w:tcPr>
          <w:p>
            <w:pPr>
              <w:jc w:val="center"/>
            </w:pPr>
            <w:r>
              <w:rPr>
                <w:rFonts w:ascii="Arial" w:cs="Arial" w:eastAsia="Arial" w:hAnsi="Arial"/>
                <w:color w:val="2C2C2A"/>
                <w:sz w:val="17"/>
                <w:szCs w:val="17"/>
              </w:rPr>
              <w:t xml:space="preserve">Dashboard PME</w:t>
            </w:r>
          </w:p>
        </w:tc>
        <w:tc>
          <w:tcPr>
            <w:tcW w:type="dxa" w:w="1310"/>
            <w:tcBorders>
              <w:top w:val="single" w:color="CCCCCC" w:sz="1"/>
              <w:left w:val="single" w:color="CCCCCC" w:sz="1"/>
              <w:bottom w:val="single" w:color="CCCCCC" w:sz="1"/>
              <w:right w:val="single" w:color="CCCCCC" w:sz="1"/>
            </w:tcBorders>
            <w:shd w:fill="E6F1FB" w:val="clear"/>
            <w:tcMar>
              <w:top w:type="dxa" w:w="80"/>
              <w:left w:type="dxa" w:w="80"/>
              <w:bottom w:type="dxa" w:w="80"/>
              <w:right w:type="dxa" w:w="80"/>
            </w:tcMar>
          </w:tcPr>
          <w:p>
            <w:pPr>
              <w:jc w:val="center"/>
            </w:pPr>
            <w:r>
              <w:rPr>
                <w:rFonts w:ascii="Arial" w:cs="Arial" w:eastAsia="Arial" w:hAnsi="Arial"/>
                <w:color w:val="2C2C2A"/>
                <w:sz w:val="17"/>
                <w:szCs w:val="17"/>
              </w:rPr>
              <w:t xml:space="preserve">Email, chat, communauté</w:t>
            </w:r>
          </w:p>
        </w:tc>
      </w:tr>
      <w:tr>
        <w:tc>
          <w:tcPr>
            <w:tcW w:type="dxa" w:w="15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80"/>
            </w:tcMar>
            <w:vAlign w:val="center"/>
          </w:tcPr>
          <w:p>
            <w:r>
              <w:rPr>
                <w:rFonts w:ascii="Arial" w:cs="Arial" w:eastAsia="Arial" w:hAnsi="Arial"/>
                <w:b/>
                <w:bCs/>
                <w:color w:val="2C2C2A"/>
                <w:sz w:val="18"/>
                <w:szCs w:val="18"/>
              </w:rPr>
              <w:t xml:space="preserve">Pensées</w:t>
            </w:r>
          </w:p>
        </w:tc>
        <w:tc>
          <w:tcPr>
            <w:tcW w:type="dxa" w:w="1310"/>
            <w:tcBorders>
              <w:top w:val="single" w:color="CCCCCC" w:sz="1"/>
              <w:left w:val="single" w:color="CCCCCC" w:sz="1"/>
              <w:bottom w:val="single" w:color="CCCCCC" w:sz="1"/>
              <w:right w:val="single" w:color="CCCCCC" w:sz="1"/>
            </w:tcBorders>
            <w:shd w:fill="EEEDFE" w:val="clear"/>
            <w:tcMar>
              <w:top w:type="dxa" w:w="80"/>
              <w:left w:type="dxa" w:w="80"/>
              <w:bottom w:type="dxa" w:w="80"/>
              <w:right w:type="dxa" w:w="80"/>
            </w:tcMar>
          </w:tcPr>
          <w:p>
            <w:pPr>
              <w:jc w:val="center"/>
            </w:pPr>
            <w:r>
              <w:rPr>
                <w:rFonts w:ascii="Arial" w:cs="Arial" w:eastAsia="Arial" w:hAnsi="Arial"/>
                <w:color w:val="2C2C2A"/>
                <w:sz w:val="17"/>
                <w:szCs w:val="17"/>
              </w:rPr>
              <w:t xml:space="preserve">"Besoin d'un compte vite"</w:t>
            </w:r>
          </w:p>
        </w:tc>
        <w:tc>
          <w:tcPr>
            <w:tcW w:type="dxa" w:w="1310"/>
            <w:tcBorders>
              <w:top w:val="single" w:color="CCCCCC" w:sz="1"/>
              <w:left w:val="single" w:color="CCCCCC" w:sz="1"/>
              <w:bottom w:val="single" w:color="CCCCCC" w:sz="1"/>
              <w:right w:val="single" w:color="CCCCCC" w:sz="1"/>
            </w:tcBorders>
            <w:shd w:fill="EEEDFE" w:val="clear"/>
            <w:tcMar>
              <w:top w:type="dxa" w:w="80"/>
              <w:left w:type="dxa" w:w="80"/>
              <w:bottom w:type="dxa" w:w="80"/>
              <w:right w:type="dxa" w:w="80"/>
            </w:tcMar>
          </w:tcPr>
          <w:p>
            <w:pPr>
              <w:jc w:val="center"/>
            </w:pPr>
            <w:r>
              <w:rPr>
                <w:rFonts w:ascii="Arial" w:cs="Arial" w:eastAsia="Arial" w:hAnsi="Arial"/>
                <w:color w:val="2C2C2A"/>
                <w:sz w:val="17"/>
                <w:szCs w:val="17"/>
              </w:rPr>
              <w:t xml:space="preserve">"Quels frais réels ?"</w:t>
            </w:r>
          </w:p>
        </w:tc>
        <w:tc>
          <w:tcPr>
            <w:tcW w:type="dxa" w:w="1310"/>
            <w:tcBorders>
              <w:top w:val="single" w:color="CCCCCC" w:sz="1"/>
              <w:left w:val="single" w:color="CCCCCC" w:sz="1"/>
              <w:bottom w:val="single" w:color="CCCCCC" w:sz="1"/>
              <w:right w:val="single" w:color="CCCCCC" w:sz="1"/>
            </w:tcBorders>
            <w:shd w:fill="EEEDFE" w:val="clear"/>
            <w:tcMar>
              <w:top w:type="dxa" w:w="80"/>
              <w:left w:type="dxa" w:w="80"/>
              <w:bottom w:type="dxa" w:w="80"/>
              <w:right w:type="dxa" w:w="80"/>
            </w:tcMar>
          </w:tcPr>
          <w:p>
            <w:pPr>
              <w:jc w:val="center"/>
            </w:pPr>
            <w:r>
              <w:rPr>
                <w:rFonts w:ascii="Arial" w:cs="Arial" w:eastAsia="Arial" w:hAnsi="Arial"/>
                <w:color w:val="2C2C2A"/>
                <w:sz w:val="17"/>
                <w:szCs w:val="17"/>
              </w:rPr>
              <w:t xml:space="preserve">"Combien de temps ?"</w:t>
            </w:r>
          </w:p>
        </w:tc>
        <w:tc>
          <w:tcPr>
            <w:tcW w:type="dxa" w:w="1310"/>
            <w:tcBorders>
              <w:top w:val="single" w:color="CCCCCC" w:sz="1"/>
              <w:left w:val="single" w:color="CCCCCC" w:sz="1"/>
              <w:bottom w:val="single" w:color="CCCCCC" w:sz="1"/>
              <w:right w:val="single" w:color="CCCCCC" w:sz="1"/>
            </w:tcBorders>
            <w:shd w:fill="EEEDFE" w:val="clear"/>
            <w:tcMar>
              <w:top w:type="dxa" w:w="80"/>
              <w:left w:type="dxa" w:w="80"/>
              <w:bottom w:type="dxa" w:w="80"/>
              <w:right w:type="dxa" w:w="80"/>
            </w:tcMar>
          </w:tcPr>
          <w:p>
            <w:pPr>
              <w:jc w:val="center"/>
            </w:pPr>
            <w:r>
              <w:rPr>
                <w:rFonts w:ascii="Arial" w:cs="Arial" w:eastAsia="Arial" w:hAnsi="Arial"/>
                <w:color w:val="2C2C2A"/>
                <w:sz w:val="17"/>
                <w:szCs w:val="17"/>
              </w:rPr>
              <w:t xml:space="preserve">"Je veux configurer vite"</w:t>
            </w:r>
          </w:p>
        </w:tc>
        <w:tc>
          <w:tcPr>
            <w:tcW w:type="dxa" w:w="1310"/>
            <w:tcBorders>
              <w:top w:val="single" w:color="CCCCCC" w:sz="1"/>
              <w:left w:val="single" w:color="CCCCCC" w:sz="1"/>
              <w:bottom w:val="single" w:color="CCCCCC" w:sz="1"/>
              <w:right w:val="single" w:color="CCCCCC" w:sz="1"/>
            </w:tcBorders>
            <w:shd w:fill="EEEDFE" w:val="clear"/>
            <w:tcMar>
              <w:top w:type="dxa" w:w="80"/>
              <w:left w:type="dxa" w:w="80"/>
              <w:bottom w:type="dxa" w:w="80"/>
              <w:right w:type="dxa" w:w="80"/>
            </w:tcMar>
          </w:tcPr>
          <w:p>
            <w:pPr>
              <w:jc w:val="center"/>
            </w:pPr>
            <w:r>
              <w:rPr>
                <w:rFonts w:ascii="Arial" w:cs="Arial" w:eastAsia="Arial" w:hAnsi="Arial"/>
                <w:color w:val="2C2C2A"/>
                <w:sz w:val="17"/>
                <w:szCs w:val="17"/>
              </w:rPr>
              <w:t xml:space="preserve">"Mes données sont sûres ?"</w:t>
            </w:r>
          </w:p>
        </w:tc>
        <w:tc>
          <w:tcPr>
            <w:tcW w:type="dxa" w:w="1310"/>
            <w:tcBorders>
              <w:top w:val="single" w:color="CCCCCC" w:sz="1"/>
              <w:left w:val="single" w:color="CCCCCC" w:sz="1"/>
              <w:bottom w:val="single" w:color="CCCCCC" w:sz="1"/>
              <w:right w:val="single" w:color="CCCCCC" w:sz="1"/>
            </w:tcBorders>
            <w:shd w:fill="EEEDFE" w:val="clear"/>
            <w:tcMar>
              <w:top w:type="dxa" w:w="80"/>
              <w:left w:type="dxa" w:w="80"/>
              <w:bottom w:type="dxa" w:w="80"/>
              <w:right w:type="dxa" w:w="80"/>
            </w:tcMar>
          </w:tcPr>
          <w:p>
            <w:pPr>
              <w:jc w:val="center"/>
            </w:pPr>
            <w:r>
              <w:rPr>
                <w:rFonts w:ascii="Arial" w:cs="Arial" w:eastAsia="Arial" w:hAnsi="Arial"/>
                <w:color w:val="2C2C2A"/>
                <w:sz w:val="17"/>
                <w:szCs w:val="17"/>
              </w:rPr>
              <w:t xml:space="preserve">"Fiable long terme ?"</w:t>
            </w:r>
          </w:p>
        </w:tc>
      </w:tr>
      <w:tr>
        <w:tc>
          <w:tcPr>
            <w:tcW w:type="dxa" w:w="15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80"/>
            </w:tcMar>
            <w:vAlign w:val="center"/>
          </w:tcPr>
          <w:p>
            <w:r>
              <w:rPr>
                <w:rFonts w:ascii="Arial" w:cs="Arial" w:eastAsia="Arial" w:hAnsi="Arial"/>
                <w:b/>
                <w:bCs/>
                <w:color w:val="2C2C2A"/>
                <w:sz w:val="18"/>
                <w:szCs w:val="18"/>
              </w:rPr>
              <w:t xml:space="preserve">Émotions</w:t>
            </w:r>
          </w:p>
        </w:tc>
        <w:tc>
          <w:tcPr>
            <w:tcW w:type="dxa" w:w="1310"/>
            <w:tcBorders>
              <w:top w:val="single" w:color="CCCCCC" w:sz="1"/>
              <w:left w:val="single" w:color="CCCCCC" w:sz="1"/>
              <w:bottom w:val="single" w:color="CCCCCC" w:sz="1"/>
              <w:right w:val="single" w:color="CCCCCC" w:sz="1"/>
            </w:tcBorders>
            <w:shd w:fill="FAEEDA" w:val="clear"/>
            <w:tcMar>
              <w:top w:type="dxa" w:w="80"/>
              <w:left w:type="dxa" w:w="80"/>
              <w:bottom w:type="dxa" w:w="80"/>
              <w:right w:type="dxa" w:w="80"/>
            </w:tcMar>
          </w:tcPr>
          <w:p>
            <w:pPr>
              <w:jc w:val="center"/>
            </w:pPr>
            <w:r>
              <w:rPr>
                <w:rFonts w:ascii="Arial" w:cs="Arial" w:eastAsia="Arial" w:hAnsi="Arial"/>
                <w:color w:val="2C2C2A"/>
                <w:sz w:val="17"/>
                <w:szCs w:val="17"/>
              </w:rPr>
              <w:t xml:space="preserve">😐 Curieux</w:t>
            </w:r>
          </w:p>
        </w:tc>
        <w:tc>
          <w:tcPr>
            <w:tcW w:type="dxa" w:w="1310"/>
            <w:tcBorders>
              <w:top w:val="single" w:color="CCCCCC" w:sz="1"/>
              <w:left w:val="single" w:color="CCCCCC" w:sz="1"/>
              <w:bottom w:val="single" w:color="CCCCCC" w:sz="1"/>
              <w:right w:val="single" w:color="CCCCCC" w:sz="1"/>
            </w:tcBorders>
            <w:shd w:fill="FAEEDA" w:val="clear"/>
            <w:tcMar>
              <w:top w:type="dxa" w:w="80"/>
              <w:left w:type="dxa" w:w="80"/>
              <w:bottom w:type="dxa" w:w="80"/>
              <w:right w:type="dxa" w:w="80"/>
            </w:tcMar>
          </w:tcPr>
          <w:p>
            <w:pPr>
              <w:jc w:val="center"/>
            </w:pPr>
            <w:r>
              <w:rPr>
                <w:rFonts w:ascii="Arial" w:cs="Arial" w:eastAsia="Arial" w:hAnsi="Arial"/>
                <w:color w:val="2C2C2A"/>
                <w:sz w:val="17"/>
                <w:szCs w:val="17"/>
              </w:rPr>
              <w:t xml:space="preserve">😟 Méfiant</w:t>
            </w:r>
          </w:p>
        </w:tc>
        <w:tc>
          <w:tcPr>
            <w:tcW w:type="dxa" w:w="1310"/>
            <w:tcBorders>
              <w:top w:val="single" w:color="CCCCCC" w:sz="1"/>
              <w:left w:val="single" w:color="CCCCCC" w:sz="1"/>
              <w:bottom w:val="single" w:color="CCCCCC" w:sz="1"/>
              <w:right w:val="single" w:color="CCCCCC" w:sz="1"/>
            </w:tcBorders>
            <w:shd w:fill="FAEEDA" w:val="clear"/>
            <w:tcMar>
              <w:top w:type="dxa" w:w="80"/>
              <w:left w:type="dxa" w:w="80"/>
              <w:bottom w:type="dxa" w:w="80"/>
              <w:right w:type="dxa" w:w="80"/>
            </w:tcMar>
          </w:tcPr>
          <w:p>
            <w:pPr>
              <w:jc w:val="center"/>
            </w:pPr>
            <w:r>
              <w:rPr>
                <w:rFonts w:ascii="Arial" w:cs="Arial" w:eastAsia="Arial" w:hAnsi="Arial"/>
                <w:color w:val="2C2C2A"/>
                <w:sz w:val="17"/>
                <w:szCs w:val="17"/>
              </w:rPr>
              <w:t xml:space="preserve">😠 Frustré</w:t>
            </w:r>
          </w:p>
        </w:tc>
        <w:tc>
          <w:tcPr>
            <w:tcW w:type="dxa" w:w="1310"/>
            <w:tcBorders>
              <w:top w:val="single" w:color="CCCCCC" w:sz="1"/>
              <w:left w:val="single" w:color="CCCCCC" w:sz="1"/>
              <w:bottom w:val="single" w:color="CCCCCC" w:sz="1"/>
              <w:right w:val="single" w:color="CCCCCC" w:sz="1"/>
            </w:tcBorders>
            <w:shd w:fill="FAEEDA" w:val="clear"/>
            <w:tcMar>
              <w:top w:type="dxa" w:w="80"/>
              <w:left w:type="dxa" w:w="80"/>
              <w:bottom w:type="dxa" w:w="80"/>
              <w:right w:type="dxa" w:w="80"/>
            </w:tcMar>
          </w:tcPr>
          <w:p>
            <w:pPr>
              <w:jc w:val="center"/>
            </w:pPr>
            <w:r>
              <w:rPr>
                <w:rFonts w:ascii="Arial" w:cs="Arial" w:eastAsia="Arial" w:hAnsi="Arial"/>
                <w:color w:val="2C2C2A"/>
                <w:sz w:val="17"/>
                <w:szCs w:val="17"/>
              </w:rPr>
              <w:t xml:space="preserve">😌 Soulagé</w:t>
            </w:r>
          </w:p>
        </w:tc>
        <w:tc>
          <w:tcPr>
            <w:tcW w:type="dxa" w:w="1310"/>
            <w:tcBorders>
              <w:top w:val="single" w:color="CCCCCC" w:sz="1"/>
              <w:left w:val="single" w:color="CCCCCC" w:sz="1"/>
              <w:bottom w:val="single" w:color="CCCCCC" w:sz="1"/>
              <w:right w:val="single" w:color="CCCCCC" w:sz="1"/>
            </w:tcBorders>
            <w:shd w:fill="FAEEDA" w:val="clear"/>
            <w:tcMar>
              <w:top w:type="dxa" w:w="80"/>
              <w:left w:type="dxa" w:w="80"/>
              <w:bottom w:type="dxa" w:w="80"/>
              <w:right w:type="dxa" w:w="80"/>
            </w:tcMar>
          </w:tcPr>
          <w:p>
            <w:pPr>
              <w:jc w:val="center"/>
            </w:pPr>
            <w:r>
              <w:rPr>
                <w:rFonts w:ascii="Arial" w:cs="Arial" w:eastAsia="Arial" w:hAnsi="Arial"/>
                <w:color w:val="2C2C2A"/>
                <w:sz w:val="17"/>
                <w:szCs w:val="17"/>
              </w:rPr>
              <w:t xml:space="preserve">😊 Confiant</w:t>
            </w:r>
          </w:p>
        </w:tc>
        <w:tc>
          <w:tcPr>
            <w:tcW w:type="dxa" w:w="1310"/>
            <w:tcBorders>
              <w:top w:val="single" w:color="CCCCCC" w:sz="1"/>
              <w:left w:val="single" w:color="CCCCCC" w:sz="1"/>
              <w:bottom w:val="single" w:color="CCCCCC" w:sz="1"/>
              <w:right w:val="single" w:color="CCCCCC" w:sz="1"/>
            </w:tcBorders>
            <w:shd w:fill="FAEEDA" w:val="clear"/>
            <w:tcMar>
              <w:top w:type="dxa" w:w="80"/>
              <w:left w:type="dxa" w:w="80"/>
              <w:bottom w:type="dxa" w:w="80"/>
              <w:right w:type="dxa" w:w="80"/>
            </w:tcMar>
          </w:tcPr>
          <w:p>
            <w:pPr>
              <w:jc w:val="center"/>
            </w:pPr>
            <w:r>
              <w:rPr>
                <w:rFonts w:ascii="Arial" w:cs="Arial" w:eastAsia="Arial" w:hAnsi="Arial"/>
                <w:color w:val="2C2C2A"/>
                <w:sz w:val="17"/>
                <w:szCs w:val="17"/>
              </w:rPr>
              <w:t xml:space="preserve">😃 Ambassadeur</w:t>
            </w:r>
          </w:p>
        </w:tc>
      </w:tr>
      <w:tr>
        <w:tc>
          <w:tcPr>
            <w:tcW w:type="dxa" w:w="15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80"/>
            </w:tcMar>
            <w:vAlign w:val="center"/>
          </w:tcPr>
          <w:p>
            <w:r>
              <w:rPr>
                <w:rFonts w:ascii="Arial" w:cs="Arial" w:eastAsia="Arial" w:hAnsi="Arial"/>
                <w:b/>
                <w:bCs/>
                <w:color w:val="2C2C2A"/>
                <w:sz w:val="18"/>
                <w:szCs w:val="18"/>
              </w:rPr>
              <w:t xml:space="preserve">Douleurs</w:t>
            </w:r>
          </w:p>
        </w:tc>
        <w:tc>
          <w:tcPr>
            <w:tcW w:type="dxa" w:w="1310"/>
            <w:tcBorders>
              <w:top w:val="single" w:color="CCCCCC" w:sz="1"/>
              <w:left w:val="single" w:color="CCCCCC" w:sz="1"/>
              <w:bottom w:val="single" w:color="CCCCCC" w:sz="1"/>
              <w:right w:val="single" w:color="CCCCCC" w:sz="1"/>
            </w:tcBorders>
            <w:shd w:fill="FAECE7" w:val="clear"/>
            <w:tcMar>
              <w:top w:type="dxa" w:w="80"/>
              <w:left w:type="dxa" w:w="80"/>
              <w:bottom w:type="dxa" w:w="80"/>
              <w:right w:type="dxa" w:w="80"/>
            </w:tcMar>
          </w:tcPr>
          <w:p>
            <w:pPr>
              <w:jc w:val="center"/>
            </w:pPr>
            <w:r>
              <w:rPr>
                <w:rFonts w:ascii="Arial" w:cs="Arial" w:eastAsia="Arial" w:hAnsi="Arial"/>
                <w:color w:val="2C2C2A"/>
                <w:sz w:val="17"/>
                <w:szCs w:val="17"/>
              </w:rPr>
              <w:t xml:space="preserve">Trop de choix</w:t>
            </w:r>
          </w:p>
        </w:tc>
        <w:tc>
          <w:tcPr>
            <w:tcW w:type="dxa" w:w="1310"/>
            <w:tcBorders>
              <w:top w:val="single" w:color="CCCCCC" w:sz="1"/>
              <w:left w:val="single" w:color="CCCCCC" w:sz="1"/>
              <w:bottom w:val="single" w:color="CCCCCC" w:sz="1"/>
              <w:right w:val="single" w:color="CCCCCC" w:sz="1"/>
            </w:tcBorders>
            <w:shd w:fill="FAECE7" w:val="clear"/>
            <w:tcMar>
              <w:top w:type="dxa" w:w="80"/>
              <w:left w:type="dxa" w:w="80"/>
              <w:bottom w:type="dxa" w:w="80"/>
              <w:right w:type="dxa" w:w="80"/>
            </w:tcMar>
          </w:tcPr>
          <w:p>
            <w:pPr>
              <w:jc w:val="center"/>
            </w:pPr>
            <w:r>
              <w:rPr>
                <w:rFonts w:ascii="Arial" w:cs="Arial" w:eastAsia="Arial" w:hAnsi="Arial"/>
                <w:color w:val="2C2C2A"/>
                <w:sz w:val="17"/>
                <w:szCs w:val="17"/>
              </w:rPr>
              <w:t xml:space="preserve">Manque de transparence</w:t>
            </w:r>
          </w:p>
        </w:tc>
        <w:tc>
          <w:tcPr>
            <w:tcW w:type="dxa" w:w="1310"/>
            <w:tcBorders>
              <w:top w:val="single" w:color="CCCCCC" w:sz="1"/>
              <w:left w:val="single" w:color="CCCCCC" w:sz="1"/>
              <w:bottom w:val="single" w:color="CCCCCC" w:sz="1"/>
              <w:right w:val="single" w:color="CCCCCC" w:sz="1"/>
            </w:tcBorders>
            <w:shd w:fill="FAECE7" w:val="clear"/>
            <w:tcMar>
              <w:top w:type="dxa" w:w="80"/>
              <w:left w:type="dxa" w:w="80"/>
              <w:bottom w:type="dxa" w:w="80"/>
              <w:right w:type="dxa" w:w="80"/>
            </w:tcMar>
          </w:tcPr>
          <w:p>
            <w:pPr>
              <w:jc w:val="center"/>
            </w:pPr>
            <w:r>
              <w:rPr>
                <w:rFonts w:ascii="Arial" w:cs="Arial" w:eastAsia="Arial" w:hAnsi="Arial"/>
                <w:color w:val="2C2C2A"/>
                <w:sz w:val="17"/>
                <w:szCs w:val="17"/>
              </w:rPr>
              <w:t xml:space="preserve">KYC lourd</w:t>
            </w:r>
          </w:p>
        </w:tc>
        <w:tc>
          <w:tcPr>
            <w:tcW w:type="dxa" w:w="1310"/>
            <w:tcBorders>
              <w:top w:val="single" w:color="CCCCCC" w:sz="1"/>
              <w:left w:val="single" w:color="CCCCCC" w:sz="1"/>
              <w:bottom w:val="single" w:color="CCCCCC" w:sz="1"/>
              <w:right w:val="single" w:color="CCCCCC" w:sz="1"/>
            </w:tcBorders>
            <w:shd w:fill="FAECE7" w:val="clear"/>
            <w:tcMar>
              <w:top w:type="dxa" w:w="80"/>
              <w:left w:type="dxa" w:w="80"/>
              <w:bottom w:type="dxa" w:w="80"/>
              <w:right w:type="dxa" w:w="80"/>
            </w:tcMar>
          </w:tcPr>
          <w:p>
            <w:pPr>
              <w:jc w:val="center"/>
            </w:pPr>
            <w:r>
              <w:rPr>
                <w:rFonts w:ascii="Arial" w:cs="Arial" w:eastAsia="Arial" w:hAnsi="Arial"/>
                <w:color w:val="2C2C2A"/>
                <w:sz w:val="17"/>
                <w:szCs w:val="17"/>
              </w:rPr>
              <w:t xml:space="preserve">Onboarding peu guidé</w:t>
            </w:r>
          </w:p>
        </w:tc>
        <w:tc>
          <w:tcPr>
            <w:tcW w:type="dxa" w:w="1310"/>
            <w:tcBorders>
              <w:top w:val="single" w:color="CCCCCC" w:sz="1"/>
              <w:left w:val="single" w:color="CCCCCC" w:sz="1"/>
              <w:bottom w:val="single" w:color="CCCCCC" w:sz="1"/>
              <w:right w:val="single" w:color="CCCCCC" w:sz="1"/>
            </w:tcBorders>
            <w:shd w:fill="FAECE7" w:val="clear"/>
            <w:tcMar>
              <w:top w:type="dxa" w:w="80"/>
              <w:left w:type="dxa" w:w="80"/>
              <w:bottom w:type="dxa" w:w="80"/>
              <w:right w:type="dxa" w:w="80"/>
            </w:tcMar>
          </w:tcPr>
          <w:p>
            <w:pPr>
              <w:jc w:val="center"/>
            </w:pPr>
            <w:r>
              <w:rPr>
                <w:rFonts w:ascii="Arial" w:cs="Arial" w:eastAsia="Arial" w:hAnsi="Arial"/>
                <w:color w:val="2C2C2A"/>
                <w:sz w:val="17"/>
                <w:szCs w:val="17"/>
              </w:rPr>
              <w:t xml:space="preserve">Support lent</w:t>
            </w:r>
          </w:p>
        </w:tc>
        <w:tc>
          <w:tcPr>
            <w:tcW w:type="dxa" w:w="1310"/>
            <w:tcBorders>
              <w:top w:val="single" w:color="CCCCCC" w:sz="1"/>
              <w:left w:val="single" w:color="CCCCCC" w:sz="1"/>
              <w:bottom w:val="single" w:color="CCCCCC" w:sz="1"/>
              <w:right w:val="single" w:color="CCCCCC" w:sz="1"/>
            </w:tcBorders>
            <w:shd w:fill="FAECE7" w:val="clear"/>
            <w:tcMar>
              <w:top w:type="dxa" w:w="80"/>
              <w:left w:type="dxa" w:w="80"/>
              <w:bottom w:type="dxa" w:w="80"/>
              <w:right w:type="dxa" w:w="80"/>
            </w:tcMar>
          </w:tcPr>
          <w:p>
            <w:pPr>
              <w:jc w:val="center"/>
            </w:pPr>
            <w:r>
              <w:rPr>
                <w:rFonts w:ascii="Arial" w:cs="Arial" w:eastAsia="Arial" w:hAnsi="Arial"/>
                <w:color w:val="2C2C2A"/>
                <w:sz w:val="17"/>
                <w:szCs w:val="17"/>
              </w:rPr>
              <w:t xml:space="preserve">—</w:t>
            </w:r>
          </w:p>
        </w:tc>
      </w:tr>
      <w:tr>
        <w:tc>
          <w:tcPr>
            <w:tcW w:type="dxa" w:w="15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80"/>
            </w:tcMar>
            <w:vAlign w:val="center"/>
          </w:tcPr>
          <w:p>
            <w:r>
              <w:rPr>
                <w:rFonts w:ascii="Arial" w:cs="Arial" w:eastAsia="Arial" w:hAnsi="Arial"/>
                <w:b/>
                <w:bCs/>
                <w:color w:val="2C2C2A"/>
                <w:sz w:val="18"/>
                <w:szCs w:val="18"/>
              </w:rPr>
              <w:t xml:space="preserve">Opportunités</w:t>
            </w:r>
          </w:p>
        </w:tc>
        <w:tc>
          <w:tcPr>
            <w:tcW w:type="dxa" w:w="131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pPr>
              <w:jc w:val="center"/>
            </w:pPr>
            <w:r>
              <w:rPr>
                <w:rFonts w:ascii="Arial" w:cs="Arial" w:eastAsia="Arial" w:hAnsi="Arial"/>
                <w:color w:val="2C2C2A"/>
                <w:sz w:val="17"/>
                <w:szCs w:val="17"/>
              </w:rPr>
              <w:t xml:space="preserve">SEO PME</w:t>
            </w:r>
          </w:p>
        </w:tc>
        <w:tc>
          <w:tcPr>
            <w:tcW w:type="dxa" w:w="131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pPr>
              <w:jc w:val="center"/>
            </w:pPr>
            <w:r>
              <w:rPr>
                <w:rFonts w:ascii="Arial" w:cs="Arial" w:eastAsia="Arial" w:hAnsi="Arial"/>
                <w:color w:val="2C2C2A"/>
                <w:sz w:val="17"/>
                <w:szCs w:val="17"/>
              </w:rPr>
              <w:t xml:space="preserve">Simulateur coûts</w:t>
            </w:r>
          </w:p>
        </w:tc>
        <w:tc>
          <w:tcPr>
            <w:tcW w:type="dxa" w:w="131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pPr>
              <w:jc w:val="center"/>
            </w:pPr>
            <w:r>
              <w:rPr>
                <w:rFonts w:ascii="Arial" w:cs="Arial" w:eastAsia="Arial" w:hAnsi="Arial"/>
                <w:color w:val="2C2C2A"/>
                <w:sz w:val="17"/>
                <w:szCs w:val="17"/>
              </w:rPr>
              <w:t xml:space="preserve">KYC mobile-first</w:t>
            </w:r>
          </w:p>
        </w:tc>
        <w:tc>
          <w:tcPr>
            <w:tcW w:type="dxa" w:w="131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pPr>
              <w:jc w:val="center"/>
            </w:pPr>
            <w:r>
              <w:rPr>
                <w:rFonts w:ascii="Arial" w:cs="Arial" w:eastAsia="Arial" w:hAnsi="Arial"/>
                <w:color w:val="2C2C2A"/>
                <w:sz w:val="17"/>
                <w:szCs w:val="17"/>
              </w:rPr>
              <w:t xml:space="preserve">Checklist guidée</w:t>
            </w:r>
          </w:p>
        </w:tc>
        <w:tc>
          <w:tcPr>
            <w:tcW w:type="dxa" w:w="131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pPr>
              <w:jc w:val="center"/>
            </w:pPr>
            <w:r>
              <w:rPr>
                <w:rFonts w:ascii="Arial" w:cs="Arial" w:eastAsia="Arial" w:hAnsi="Arial"/>
                <w:color w:val="2C2C2A"/>
                <w:sz w:val="17"/>
                <w:szCs w:val="17"/>
              </w:rPr>
              <w:t xml:space="preserve">Chat IA</w:t>
            </w:r>
          </w:p>
        </w:tc>
        <w:tc>
          <w:tcPr>
            <w:tcW w:type="dxa" w:w="131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pPr>
              <w:jc w:val="center"/>
            </w:pPr>
            <w:r>
              <w:rPr>
                <w:rFonts w:ascii="Arial" w:cs="Arial" w:eastAsia="Arial" w:hAnsi="Arial"/>
                <w:color w:val="2C2C2A"/>
                <w:sz w:val="17"/>
                <w:szCs w:val="17"/>
              </w:rPr>
              <w:t xml:space="preserve">Programme parrainage</w:t>
            </w:r>
          </w:p>
        </w:tc>
      </w:tr>
    </w:tbl>
    <w:p>
      <w:pPr>
        <w:spacing w:after="0" w:before="200"/>
      </w:pPr>
      <w:r>
        <w:t xml:space="preserve"/>
      </w:r>
    </w:p>
    <w:p>
      <w:r>
        <w:br w:type="page"/>
      </w:r>
    </w:p>
    <w:p>
      <w:pPr>
        <w:pStyle w:val="Heading1"/>
        <w:spacing w:after="180" w:before="360"/>
      </w:pPr>
      <w:r>
        <w:rPr>
          <w:rFonts w:ascii="Georgia" w:cs="Georgia" w:eastAsia="Georgia" w:hAnsi="Georgia"/>
          <w:b/>
          <w:bCs/>
          <w:color w:val="1E2761"/>
          <w:sz w:val="36"/>
          <w:szCs w:val="36"/>
        </w:rPr>
        <w:t xml:space="preserve">4. Analyse de la courbe émotionnelle</w:t>
      </w:r>
    </w:p>
    <w:p>
      <w:pPr>
        <w:pBdr>
          <w:bottom w:val="single" w:color="1E2761" w:sz="6" w:space="1"/>
        </w:pBdr>
        <w:spacing w:after="120" w:before="120"/>
      </w:pPr>
      <w:r>
        <w:t xml:space="preserve"/>
      </w:r>
    </w:p>
    <w:p>
      <w:pPr>
        <w:spacing w:after="0" w:before="80"/>
      </w:pPr>
      <w:r>
        <w:t xml:space="preserve"/>
      </w:r>
    </w:p>
    <w:p>
      <w:pPr>
        <w:spacing w:after="120" w:before="60" w:line="360"/>
      </w:pPr>
      <w:r>
        <w:rPr>
          <w:rFonts w:ascii="Arial" w:cs="Arial" w:eastAsia="Arial" w:hAnsi="Arial"/>
          <w:b w:val="false"/>
          <w:bCs w:val="false"/>
          <w:color w:val="2C2C2A"/>
          <w:sz w:val="22"/>
          <w:szCs w:val="22"/>
        </w:rPr>
        <w:t xml:space="preserve">La courbe émotionnelle illustre la dynamique affective du parcours. Elle met en évidence une structure en U : l'expérience se dégrade jusqu'à la phase d'inscription (point bas), puis remonte progressivement vers un état très positif lors de la fidélisation.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400"/>
        <w:gridCol w:w="2760"/>
      </w:tblGrid>
      <w:tr>
        <w:tc>
          <w:tcPr>
            <w:tcW w:type="dxa" w:w="16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6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color w:val="FFFFFF"/>
                <w:sz w:val="18"/>
                <w:szCs w:val="18"/>
              </w:rPr>
              <w:t xml:space="preserve">Émotion dominante</w:t>
            </w:r>
          </w:p>
        </w:tc>
        <w:tc>
          <w:tcPr>
            <w:tcW w:type="dxa" w:w="24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color w:val="FFFFFF"/>
                <w:sz w:val="18"/>
                <w:szCs w:val="18"/>
              </w:rPr>
              <w:t xml:space="preserve">Niveau</w:t>
            </w:r>
          </w:p>
        </w:tc>
        <w:tc>
          <w:tcPr>
            <w:tcW w:type="dxa" w:w="27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color w:val="FFFFFF"/>
                <w:sz w:val="18"/>
                <w:szCs w:val="18"/>
              </w:rPr>
              <w:t xml:space="preserve">Risque d'abandon</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Découverte</w:t>
            </w:r>
          </w:p>
        </w:tc>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 Curieux</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Neutre</w:t>
            </w:r>
          </w:p>
        </w:tc>
        <w:tc>
          <w:tcPr>
            <w:tcW w:type="dxa" w:w="2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Faible</w:t>
            </w:r>
          </w:p>
        </w:tc>
      </w:tr>
      <w:tr>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2C2C2A"/>
                <w:sz w:val="20"/>
                <w:szCs w:val="20"/>
              </w:rPr>
              <w:t xml:space="preserve">Évaluation</w:t>
            </w:r>
          </w:p>
        </w:tc>
        <w:tc>
          <w:tcPr>
            <w:tcW w:type="dxa" w:w="2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color w:val="2C2C2A"/>
                <w:sz w:val="20"/>
                <w:szCs w:val="20"/>
              </w:rPr>
              <w:t xml:space="preserve">😟 Méfiant</w:t>
            </w:r>
          </w:p>
        </w:tc>
        <w:tc>
          <w:tcPr>
            <w:tcW w:type="dxa" w:w="2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color w:val="2C2C2A"/>
                <w:sz w:val="20"/>
                <w:szCs w:val="20"/>
              </w:rPr>
              <w:t xml:space="preserve">Négatif modéré</w:t>
            </w:r>
          </w:p>
        </w:tc>
        <w:tc>
          <w:tcPr>
            <w:tcW w:type="dxa" w:w="2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2C2C2A"/>
                <w:sz w:val="20"/>
                <w:szCs w:val="20"/>
              </w:rPr>
              <w:t xml:space="preserve">Modéré</w:t>
            </w:r>
          </w:p>
        </w:tc>
      </w:tr>
      <w:tr>
        <w:tc>
          <w:tcPr>
            <w:tcW w:type="dxa" w:w="16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bCs/>
                <w:color w:val="A32D2D"/>
                <w:sz w:val="20"/>
                <w:szCs w:val="20"/>
              </w:rPr>
              <w:t xml:space="preserve">Inscription</w:t>
            </w:r>
          </w:p>
        </w:tc>
        <w:tc>
          <w:tcPr>
            <w:tcW w:type="dxa" w:w="26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color w:val="A32D2D"/>
                <w:sz w:val="20"/>
                <w:szCs w:val="20"/>
              </w:rPr>
              <w:t xml:space="preserve">😠 Frustré</w:t>
            </w:r>
          </w:p>
        </w:tc>
        <w:tc>
          <w:tcPr>
            <w:tcW w:type="dxa" w:w="24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color w:val="A32D2D"/>
                <w:sz w:val="20"/>
                <w:szCs w:val="20"/>
              </w:rPr>
              <w:t xml:space="preserve">Négatif fort</w:t>
            </w:r>
          </w:p>
        </w:tc>
        <w:tc>
          <w:tcPr>
            <w:tcW w:type="dxa" w:w="276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bCs/>
                <w:color w:val="A32D2D"/>
                <w:sz w:val="20"/>
                <w:szCs w:val="20"/>
              </w:rPr>
              <w:t xml:space="preserve">Élevé</w:t>
            </w:r>
          </w:p>
        </w:tc>
      </w:tr>
      <w:tr>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2C2C2A"/>
                <w:sz w:val="20"/>
                <w:szCs w:val="20"/>
              </w:rPr>
              <w:t xml:space="preserve">Activation</w:t>
            </w:r>
          </w:p>
        </w:tc>
        <w:tc>
          <w:tcPr>
            <w:tcW w:type="dxa" w:w="2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2C2C2A"/>
                <w:sz w:val="20"/>
                <w:szCs w:val="20"/>
              </w:rPr>
              <w:t xml:space="preserve">😌 Soulagé</w:t>
            </w:r>
          </w:p>
        </w:tc>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2C2C2A"/>
                <w:sz w:val="20"/>
                <w:szCs w:val="20"/>
              </w:rPr>
              <w:t xml:space="preserve">Positif modéré</w:t>
            </w:r>
          </w:p>
        </w:tc>
        <w:tc>
          <w:tcPr>
            <w:tcW w:type="dxa" w:w="2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2C2C2A"/>
                <w:sz w:val="20"/>
                <w:szCs w:val="20"/>
              </w:rPr>
              <w:t xml:space="preserve">Faible</w:t>
            </w:r>
          </w:p>
        </w:tc>
      </w:tr>
      <w:tr>
        <w:tc>
          <w:tcPr>
            <w:tcW w:type="dxa" w:w="16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2C2C2A"/>
                <w:sz w:val="20"/>
                <w:szCs w:val="20"/>
              </w:rPr>
              <w:t xml:space="preserve">Utilisation</w:t>
            </w:r>
          </w:p>
        </w:tc>
        <w:tc>
          <w:tcPr>
            <w:tcW w:type="dxa" w:w="26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color w:val="2C2C2A"/>
                <w:sz w:val="20"/>
                <w:szCs w:val="20"/>
              </w:rPr>
              <w:t xml:space="preserve">😊 Confiant</w:t>
            </w:r>
          </w:p>
        </w:tc>
        <w:tc>
          <w:tcPr>
            <w:tcW w:type="dxa" w:w="2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color w:val="2C2C2A"/>
                <w:sz w:val="20"/>
                <w:szCs w:val="20"/>
              </w:rPr>
              <w:t xml:space="preserve">Positif</w:t>
            </w:r>
          </w:p>
        </w:tc>
        <w:tc>
          <w:tcPr>
            <w:tcW w:type="dxa" w:w="27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2C2C2A"/>
                <w:sz w:val="20"/>
                <w:szCs w:val="20"/>
              </w:rPr>
              <w:t xml:space="preserve">Très faible</w:t>
            </w:r>
          </w:p>
        </w:tc>
      </w:tr>
      <w:tr>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2C2C2A"/>
                <w:sz w:val="20"/>
                <w:szCs w:val="20"/>
              </w:rPr>
              <w:t xml:space="preserve">Fidélité</w:t>
            </w:r>
          </w:p>
        </w:tc>
        <w:tc>
          <w:tcPr>
            <w:tcW w:type="dxa" w:w="2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color w:val="2C2C2A"/>
                <w:sz w:val="20"/>
                <w:szCs w:val="20"/>
              </w:rPr>
              <w:t xml:space="preserve">😃 Ambassadeur</w:t>
            </w:r>
          </w:p>
        </w:tc>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color w:val="2C2C2A"/>
                <w:sz w:val="20"/>
                <w:szCs w:val="20"/>
              </w:rPr>
              <w:t xml:space="preserve">Très positif</w:t>
            </w:r>
          </w:p>
        </w:tc>
        <w:tc>
          <w:tcPr>
            <w:tcW w:type="dxa" w:w="27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val="false"/>
                <w:bCs w:val="false"/>
                <w:color w:val="2C2C2A"/>
                <w:sz w:val="20"/>
                <w:szCs w:val="20"/>
              </w:rPr>
              <w:t xml:space="preserve">Minimal</w:t>
            </w:r>
          </w:p>
        </w:tc>
      </w:tr>
    </w:tbl>
    <w:p>
      <w:pPr>
        <w:spacing w:after="0" w:before="200"/>
      </w:pPr>
      <w:r>
        <w:t xml:space="preserve"/>
      </w:r>
    </w:p>
    <w:p>
      <w:r>
        <w:br w:type="page"/>
      </w:r>
    </w:p>
    <w:p>
      <w:pPr>
        <w:pStyle w:val="Heading1"/>
        <w:spacing w:after="180" w:before="360"/>
      </w:pPr>
      <w:r>
        <w:rPr>
          <w:rFonts w:ascii="Georgia" w:cs="Georgia" w:eastAsia="Georgia" w:hAnsi="Georgia"/>
          <w:b/>
          <w:bCs/>
          <w:color w:val="1E2761"/>
          <w:sz w:val="36"/>
          <w:szCs w:val="36"/>
        </w:rPr>
        <w:t xml:space="preserve">5. Points de douleur &amp; recommandations</w:t>
      </w:r>
    </w:p>
    <w:p>
      <w:pPr>
        <w:pBdr>
          <w:bottom w:val="single" w:color="1E2761" w:sz="6" w:space="1"/>
        </w:pBdr>
        <w:spacing w:after="120" w:before="120"/>
      </w:pPr>
      <w:r>
        <w:t xml:space="preserve"/>
      </w:r>
    </w:p>
    <w:p>
      <w:pPr>
        <w:spacing w:after="0" w:before="80"/>
      </w:pPr>
      <w:r>
        <w:t xml:space="preserve"/>
      </w:r>
    </w:p>
    <w:p>
      <w:pPr>
        <w:pStyle w:val="Heading2"/>
        <w:spacing w:after="120" w:before="280"/>
      </w:pPr>
      <w:r>
        <w:rPr>
          <w:rFonts w:ascii="Georgia" w:cs="Georgia" w:eastAsia="Georgia" w:hAnsi="Georgia"/>
          <w:b/>
          <w:bCs/>
          <w:color w:val="028090"/>
          <w:sz w:val="28"/>
          <w:szCs w:val="28"/>
        </w:rPr>
        <w:t xml:space="preserve">5.1 Douleur #1 — Manque de transparence tarifaire</w:t>
      </w:r>
    </w:p>
    <w:p>
      <w:pPr>
        <w:spacing w:after="80" w:before="60" w:line="360"/>
      </w:pPr>
      <w:r>
        <w:rPr>
          <w:rFonts w:ascii="Arial" w:cs="Arial" w:eastAsia="Arial" w:hAnsi="Arial"/>
          <w:b/>
          <w:bCs/>
          <w:color w:val="D85A30"/>
          <w:sz w:val="22"/>
          <w:szCs w:val="22"/>
        </w:rPr>
        <w:t xml:space="preserve">Phase concernée : Évaluation  |  Impact : Élevé  |  Fréquence : Très fréquent</w:t>
      </w:r>
    </w:p>
    <w:p>
      <w:pPr>
        <w:spacing w:after="80" w:before="40" w:line="360"/>
      </w:pPr>
      <w:r>
        <w:rPr>
          <w:rFonts w:ascii="Arial" w:cs="Arial" w:eastAsia="Arial" w:hAnsi="Arial"/>
          <w:b w:val="false"/>
          <w:bCs w:val="false"/>
          <w:color w:val="2C2C2A"/>
          <w:sz w:val="22"/>
          <w:szCs w:val="22"/>
        </w:rPr>
        <w:t xml:space="preserve">L'entrepreneur est incapable de calculer rapidement le coût mensuel réel de la solution. La multiplicité des frais (tenue de compte, virements sortants, retraits DAB, change de devises, SMS d'alerte) crée une opacité perçue comme une tentative de dissimulation.</w:t>
      </w:r>
    </w:p>
    <w:p>
      <w:pPr>
        <w:spacing w:after="80" w:before="220"/>
      </w:pPr>
      <w:r>
        <w:rPr>
          <w:rFonts w:ascii="Arial" w:cs="Arial" w:eastAsia="Arial" w:hAnsi="Arial"/>
          <w:b/>
          <w:bCs/>
          <w:color w:val="534AB7"/>
          <w:sz w:val="24"/>
          <w:szCs w:val="24"/>
        </w:rPr>
        <w:t xml:space="preserve">Recommandation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single" w:color="1D9E75" w:sz="12"/>
              <w:bottom w:val="none" w:color="FFFFFF" w:sz="0"/>
              <w:right w:val="none" w:color="FFFFFF" w:sz="0"/>
            </w:tcBorders>
            <w:shd w:fill="E1F5EE" w:val="clear"/>
            <w:tcMar>
              <w:top w:type="dxa" w:w="120"/>
              <w:left w:type="dxa" w:w="160"/>
              <w:bottom w:type="dxa" w:w="120"/>
              <w:right w:type="dxa" w:w="80"/>
            </w:tcMar>
            <w:vAlign w:val="center"/>
          </w:tcPr>
          <w:p>
            <w:r>
              <w:rPr>
                <w:rFonts w:ascii="Arial" w:cs="Arial" w:eastAsia="Arial" w:hAnsi="Arial"/>
                <w:b/>
                <w:bCs/>
                <w:color w:val="1D9E75"/>
                <w:sz w:val="20"/>
                <w:szCs w:val="20"/>
              </w:rPr>
              <w:t xml:space="preserve">Solution</w:t>
            </w:r>
          </w:p>
        </w:tc>
        <w:tc>
          <w:tcPr>
            <w:tcW w:type="dxa" w:w="7920"/>
            <w:tcBorders>
              <w:top w:val="none" w:color="FFFFFF" w:sz="0"/>
              <w:left w:val="none" w:color="FFFFFF" w:sz="0"/>
              <w:bottom w:val="none" w:color="FFFFFF" w:sz="0"/>
              <w:right w:val="none" w:color="FFFFFF" w:sz="0"/>
            </w:tcBorders>
            <w:shd w:fill="E1F5EE" w:val="clear"/>
            <w:tcMar>
              <w:top w:type="dxa" w:w="120"/>
              <w:left w:type="dxa" w:w="160"/>
              <w:bottom w:type="dxa" w:w="120"/>
              <w:right w:type="dxa" w:w="160"/>
            </w:tcMar>
          </w:tcPr>
          <w:p>
            <w:r>
              <w:rPr>
                <w:rFonts w:ascii="Arial" w:cs="Arial" w:eastAsia="Arial" w:hAnsi="Arial"/>
                <w:color w:val="2C2C2A"/>
                <w:sz w:val="20"/>
                <w:szCs w:val="20"/>
              </w:rPr>
              <w:t xml:space="preserve">Développer un simulateur de coûts interactif sur la landing page, permettant à l'entrepreneur de paramétrer son profil (nb de virements/mois, volume de transactions) et d'obtenir un coût mensuel exact, garanti sans frais cachés.</w:t>
            </w:r>
          </w:p>
        </w:tc>
      </w:tr>
    </w:tbl>
    <w:p>
      <w:pPr>
        <w:spacing w:after="0" w:before="120"/>
      </w:pPr>
      <w:r>
        <w:t xml:space="preserve"/>
      </w:r>
    </w:p>
    <w:p>
      <w:pPr>
        <w:pStyle w:val="Heading2"/>
        <w:spacing w:after="120" w:before="280"/>
      </w:pPr>
      <w:r>
        <w:rPr>
          <w:rFonts w:ascii="Georgia" w:cs="Georgia" w:eastAsia="Georgia" w:hAnsi="Georgia"/>
          <w:b/>
          <w:bCs/>
          <w:color w:val="028090"/>
          <w:sz w:val="28"/>
          <w:szCs w:val="28"/>
        </w:rPr>
        <w:t xml:space="preserve">5.2 Douleur #2 — Processus KYC long et contraignant</w:t>
      </w:r>
    </w:p>
    <w:p>
      <w:pPr>
        <w:spacing w:after="80" w:before="60" w:line="360"/>
      </w:pPr>
      <w:r>
        <w:rPr>
          <w:rFonts w:ascii="Arial" w:cs="Arial" w:eastAsia="Arial" w:hAnsi="Arial"/>
          <w:b/>
          <w:bCs/>
          <w:color w:val="A32D2D"/>
          <w:sz w:val="22"/>
          <w:szCs w:val="22"/>
        </w:rPr>
        <w:t xml:space="preserve">Phase concernée : Inscription  |  Impact : Critique  |  Fréquence : Systématique</w:t>
      </w:r>
    </w:p>
    <w:p>
      <w:pPr>
        <w:spacing w:after="80" w:before="40" w:line="360"/>
      </w:pPr>
      <w:r>
        <w:rPr>
          <w:rFonts w:ascii="Arial" w:cs="Arial" w:eastAsia="Arial" w:hAnsi="Arial"/>
          <w:b w:val="false"/>
          <w:bCs w:val="false"/>
          <w:color w:val="2C2C2A"/>
          <w:sz w:val="22"/>
          <w:szCs w:val="22"/>
        </w:rPr>
        <w:t xml:space="preserve">C'est le point de friction le plus sévère du parcours. La soumission de multiples documents officiels, le délai de validation (souvent 2-5 jours ouvrables) et l'absence de feedback en temps réel génèrent une frustration intense pouvant mener à l'abandon définitif de la procédure.</w:t>
      </w:r>
    </w:p>
    <w:p>
      <w:pPr>
        <w:spacing w:after="80" w:before="220"/>
      </w:pPr>
      <w:r>
        <w:rPr>
          <w:rFonts w:ascii="Arial" w:cs="Arial" w:eastAsia="Arial" w:hAnsi="Arial"/>
          <w:b/>
          <w:bCs/>
          <w:color w:val="534AB7"/>
          <w:sz w:val="24"/>
          <w:szCs w:val="24"/>
        </w:rPr>
        <w:t xml:space="preserve">Recommandation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single" w:color="1D9E75" w:sz="12"/>
              <w:bottom w:val="none" w:color="FFFFFF" w:sz="0"/>
              <w:right w:val="none" w:color="FFFFFF" w:sz="0"/>
            </w:tcBorders>
            <w:shd w:fill="E1F5EE" w:val="clear"/>
            <w:tcMar>
              <w:top w:type="dxa" w:w="120"/>
              <w:left w:type="dxa" w:w="160"/>
              <w:bottom w:type="dxa" w:w="120"/>
              <w:right w:type="dxa" w:w="80"/>
            </w:tcMar>
            <w:vAlign w:val="center"/>
          </w:tcPr>
          <w:p>
            <w:r>
              <w:rPr>
                <w:rFonts w:ascii="Arial" w:cs="Arial" w:eastAsia="Arial" w:hAnsi="Arial"/>
                <w:b/>
                <w:bCs/>
                <w:color w:val="1D9E75"/>
                <w:sz w:val="20"/>
                <w:szCs w:val="20"/>
              </w:rPr>
              <w:t xml:space="preserve">Solution</w:t>
            </w:r>
          </w:p>
        </w:tc>
        <w:tc>
          <w:tcPr>
            <w:tcW w:type="dxa" w:w="7920"/>
            <w:tcBorders>
              <w:top w:val="none" w:color="FFFFFF" w:sz="0"/>
              <w:left w:val="none" w:color="FFFFFF" w:sz="0"/>
              <w:bottom w:val="none" w:color="FFFFFF" w:sz="0"/>
              <w:right w:val="none" w:color="FFFFFF" w:sz="0"/>
            </w:tcBorders>
            <w:shd w:fill="E1F5EE" w:val="clear"/>
            <w:tcMar>
              <w:top w:type="dxa" w:w="120"/>
              <w:left w:type="dxa" w:w="160"/>
              <w:bottom w:type="dxa" w:w="120"/>
              <w:right w:type="dxa" w:w="160"/>
            </w:tcMar>
          </w:tcPr>
          <w:p>
            <w:r>
              <w:rPr>
                <w:rFonts w:ascii="Arial" w:cs="Arial" w:eastAsia="Arial" w:hAnsi="Arial"/>
                <w:color w:val="2C2C2A"/>
                <w:sz w:val="20"/>
                <w:szCs w:val="20"/>
              </w:rPr>
              <w:t xml:space="preserve">Déployer un parcours KYC simplifié mobile-first : capture des documents par photo (OCR automatique), pré-remplissage des formulaires, barre de progression visible, notifications push à chaque étape validée, et engagement contractuel de validation en moins de 24h ouvrables.</w:t>
            </w:r>
          </w:p>
        </w:tc>
      </w:tr>
    </w:tbl>
    <w:p>
      <w:pPr>
        <w:spacing w:after="0" w:before="120"/>
      </w:pPr>
      <w:r>
        <w:t xml:space="preserve"/>
      </w:r>
    </w:p>
    <w:p>
      <w:pPr>
        <w:pStyle w:val="Heading2"/>
        <w:spacing w:after="120" w:before="280"/>
      </w:pPr>
      <w:r>
        <w:rPr>
          <w:rFonts w:ascii="Georgia" w:cs="Georgia" w:eastAsia="Georgia" w:hAnsi="Georgia"/>
          <w:b/>
          <w:bCs/>
          <w:color w:val="028090"/>
          <w:sz w:val="28"/>
          <w:szCs w:val="28"/>
        </w:rPr>
        <w:t xml:space="preserve">5.3 Douleur #3 — Support client peu réactif</w:t>
      </w:r>
    </w:p>
    <w:p>
      <w:pPr>
        <w:spacing w:after="80" w:before="60" w:line="360"/>
      </w:pPr>
      <w:r>
        <w:rPr>
          <w:rFonts w:ascii="Arial" w:cs="Arial" w:eastAsia="Arial" w:hAnsi="Arial"/>
          <w:b/>
          <w:bCs/>
          <w:color w:val="D85A30"/>
          <w:sz w:val="22"/>
          <w:szCs w:val="22"/>
        </w:rPr>
        <w:t xml:space="preserve">Phase concernée : Utilisation  |  Impact : Élevé  |  Fréquence : Fréquent</w:t>
      </w:r>
    </w:p>
    <w:p>
      <w:pPr>
        <w:spacing w:after="80" w:before="40" w:line="360"/>
      </w:pPr>
      <w:r>
        <w:rPr>
          <w:rFonts w:ascii="Arial" w:cs="Arial" w:eastAsia="Arial" w:hAnsi="Arial"/>
          <w:b w:val="false"/>
          <w:bCs w:val="false"/>
          <w:color w:val="2C2C2A"/>
          <w:sz w:val="22"/>
          <w:szCs w:val="22"/>
        </w:rPr>
        <w:t xml:space="preserve">Lors d'un blocage opérationnel (virement refusé, carte bloquée, besoin d'augmenter un plafond), l'entrepreneur a besoin d'une réponse immédiate. Un délai de réponse de plusieurs heures est inacceptable dans un contexte business.</w:t>
      </w:r>
    </w:p>
    <w:p>
      <w:pPr>
        <w:spacing w:after="80" w:before="220"/>
      </w:pPr>
      <w:r>
        <w:rPr>
          <w:rFonts w:ascii="Arial" w:cs="Arial" w:eastAsia="Arial" w:hAnsi="Arial"/>
          <w:b/>
          <w:bCs/>
          <w:color w:val="534AB7"/>
          <w:sz w:val="24"/>
          <w:szCs w:val="24"/>
        </w:rPr>
        <w:t xml:space="preserve">Recommandation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single" w:color="1D9E75" w:sz="12"/>
              <w:bottom w:val="none" w:color="FFFFFF" w:sz="0"/>
              <w:right w:val="none" w:color="FFFFFF" w:sz="0"/>
            </w:tcBorders>
            <w:shd w:fill="E1F5EE" w:val="clear"/>
            <w:tcMar>
              <w:top w:type="dxa" w:w="120"/>
              <w:left w:type="dxa" w:w="160"/>
              <w:bottom w:type="dxa" w:w="120"/>
              <w:right w:type="dxa" w:w="80"/>
            </w:tcMar>
            <w:vAlign w:val="center"/>
          </w:tcPr>
          <w:p>
            <w:r>
              <w:rPr>
                <w:rFonts w:ascii="Arial" w:cs="Arial" w:eastAsia="Arial" w:hAnsi="Arial"/>
                <w:b/>
                <w:bCs/>
                <w:color w:val="1D9E75"/>
                <w:sz w:val="20"/>
                <w:szCs w:val="20"/>
              </w:rPr>
              <w:t xml:space="preserve">Solution</w:t>
            </w:r>
          </w:p>
        </w:tc>
        <w:tc>
          <w:tcPr>
            <w:tcW w:type="dxa" w:w="7920"/>
            <w:tcBorders>
              <w:top w:val="none" w:color="FFFFFF" w:sz="0"/>
              <w:left w:val="none" w:color="FFFFFF" w:sz="0"/>
              <w:bottom w:val="none" w:color="FFFFFF" w:sz="0"/>
              <w:right w:val="none" w:color="FFFFFF" w:sz="0"/>
            </w:tcBorders>
            <w:shd w:fill="E1F5EE" w:val="clear"/>
            <w:tcMar>
              <w:top w:type="dxa" w:w="120"/>
              <w:left w:type="dxa" w:w="160"/>
              <w:bottom w:type="dxa" w:w="120"/>
              <w:right w:type="dxa" w:w="160"/>
            </w:tcMar>
          </w:tcPr>
          <w:p>
            <w:r>
              <w:rPr>
                <w:rFonts w:ascii="Arial" w:cs="Arial" w:eastAsia="Arial" w:hAnsi="Arial"/>
                <w:color w:val="2C2C2A"/>
                <w:sz w:val="20"/>
                <w:szCs w:val="20"/>
              </w:rPr>
              <w:t xml:space="preserve">Créer une ligne de support dédiée PME avec engagement de réponse en moins de 2 heures en jours ouvrables, chat IA disponible 24/7 pour les questions courantes, et gestionnaire de compte dédié au-delà d'un certain volume de transactions.</w:t>
            </w:r>
          </w:p>
        </w:tc>
      </w:tr>
    </w:tbl>
    <w:p>
      <w:pPr>
        <w:spacing w:after="0" w:before="200"/>
      </w:pPr>
      <w:r>
        <w:t xml:space="preserve"/>
      </w:r>
    </w:p>
    <w:p>
      <w:r>
        <w:br w:type="page"/>
      </w:r>
    </w:p>
    <w:p>
      <w:pPr>
        <w:pStyle w:val="Heading1"/>
        <w:spacing w:after="180" w:before="360"/>
      </w:pPr>
      <w:r>
        <w:rPr>
          <w:rFonts w:ascii="Georgia" w:cs="Georgia" w:eastAsia="Georgia" w:hAnsi="Georgia"/>
          <w:b/>
          <w:bCs/>
          <w:color w:val="1E2761"/>
          <w:sz w:val="36"/>
          <w:szCs w:val="36"/>
        </w:rPr>
        <w:t xml:space="preserve">6. Roadmap des opportunités</w:t>
      </w:r>
    </w:p>
    <w:p>
      <w:pPr>
        <w:pBdr>
          <w:bottom w:val="single" w:color="1E2761" w:sz="6" w:space="1"/>
        </w:pBdr>
        <w:spacing w:after="120" w:before="120"/>
      </w:pPr>
      <w:r>
        <w:t xml:space="preserve"/>
      </w:r>
    </w:p>
    <w:p>
      <w:pPr>
        <w:spacing w:after="0" w:before="80"/>
      </w:pPr>
      <w:r>
        <w:t xml:space="preserve"/>
      </w:r>
    </w:p>
    <w:p>
      <w:pPr>
        <w:spacing w:after="120" w:before="60" w:line="360"/>
      </w:pPr>
      <w:r>
        <w:rPr>
          <w:rFonts w:ascii="Arial" w:cs="Arial" w:eastAsia="Arial" w:hAnsi="Arial"/>
          <w:b w:val="false"/>
          <w:bCs w:val="false"/>
          <w:color w:val="2C2C2A"/>
          <w:sz w:val="22"/>
          <w:szCs w:val="22"/>
        </w:rPr>
        <w:t xml:space="preserve">Les opportunités identifiées sont priorisées en trois horizons temporels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c>
          <w:tcPr>
            <w:tcW w:type="dxa" w:w="2200"/>
            <w:tcBorders>
              <w:top w:val="single" w:color="CCCCCC" w:sz="1"/>
              <w:left w:val="single" w:color="CCCCCC" w:sz="1"/>
              <w:bottom w:val="single" w:color="CCCCCC" w:sz="1"/>
              <w:right w:val="single" w:color="CCCCCC" w:sz="1"/>
            </w:tcBorders>
            <w:shd w:fill="1E2761" w:val="clear"/>
            <w:tcMar>
              <w:top w:type="dxa" w:w="80"/>
              <w:left w:type="dxa" w:w="140"/>
              <w:bottom w:type="dxa" w:w="80"/>
              <w:right w:type="dxa" w:w="140"/>
            </w:tcMar>
          </w:tcPr>
          <w:p>
            <w:r>
              <w:rPr>
                <w:rFonts w:ascii="Arial" w:cs="Arial" w:eastAsia="Arial" w:hAnsi="Arial"/>
                <w:b/>
                <w:bCs/>
                <w:color w:val="FFFFFF"/>
                <w:sz w:val="18"/>
                <w:szCs w:val="18"/>
              </w:rPr>
              <w:t xml:space="preserve">Horizon</w:t>
            </w:r>
          </w:p>
        </w:tc>
        <w:tc>
          <w:tcPr>
            <w:tcW w:type="dxa" w:w="3380"/>
            <w:tcBorders>
              <w:top w:val="single" w:color="CCCCCC" w:sz="1"/>
              <w:left w:val="single" w:color="CCCCCC" w:sz="1"/>
              <w:bottom w:val="single" w:color="CCCCCC" w:sz="1"/>
              <w:right w:val="single" w:color="CCCCCC" w:sz="1"/>
            </w:tcBorders>
            <w:shd w:fill="1E2761" w:val="clear"/>
            <w:tcMar>
              <w:top w:type="dxa" w:w="80"/>
              <w:left w:type="dxa" w:w="140"/>
              <w:bottom w:type="dxa" w:w="80"/>
              <w:right w:type="dxa" w:w="140"/>
            </w:tcMar>
          </w:tcPr>
          <w:p>
            <w:r>
              <w:rPr>
                <w:rFonts w:ascii="Arial" w:cs="Arial" w:eastAsia="Arial" w:hAnsi="Arial"/>
                <w:b/>
                <w:bCs/>
                <w:color w:val="FFFFFF"/>
                <w:sz w:val="18"/>
                <w:szCs w:val="18"/>
              </w:rPr>
              <w:t xml:space="preserve">Actions prioritaires</w:t>
            </w:r>
          </w:p>
        </w:tc>
        <w:tc>
          <w:tcPr>
            <w:tcW w:type="dxa" w:w="3780"/>
            <w:tcBorders>
              <w:top w:val="single" w:color="CCCCCC" w:sz="1"/>
              <w:left w:val="single" w:color="CCCCCC" w:sz="1"/>
              <w:bottom w:val="single" w:color="CCCCCC" w:sz="1"/>
              <w:right w:val="single" w:color="CCCCCC" w:sz="1"/>
            </w:tcBorders>
            <w:shd w:fill="1E2761" w:val="clear"/>
            <w:tcMar>
              <w:top w:type="dxa" w:w="80"/>
              <w:left w:type="dxa" w:w="140"/>
              <w:bottom w:type="dxa" w:w="80"/>
              <w:right w:type="dxa" w:w="140"/>
            </w:tcMar>
          </w:tcPr>
          <w:p>
            <w:r>
              <w:rPr>
                <w:rFonts w:ascii="Arial" w:cs="Arial" w:eastAsia="Arial" w:hAnsi="Arial"/>
                <w:b/>
                <w:bCs/>
                <w:color w:val="FFFFFF"/>
                <w:sz w:val="18"/>
                <w:szCs w:val="18"/>
              </w:rPr>
              <w:t xml:space="preserve">Impact attendu</w:t>
            </w:r>
          </w:p>
        </w:tc>
      </w:tr>
      <w:tr>
        <w:tc>
          <w:tcPr>
            <w:tcW w:type="dxa" w:w="220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r>
              <w:rPr>
                <w:rFonts w:ascii="Arial" w:cs="Arial" w:eastAsia="Arial" w:hAnsi="Arial"/>
                <w:b/>
                <w:bCs/>
                <w:color w:val="D85A30"/>
                <w:sz w:val="20"/>
                <w:szCs w:val="20"/>
              </w:rPr>
              <w:t xml:space="preserve">Court terme (0-3 mois)</w:t>
            </w:r>
          </w:p>
        </w:tc>
        <w:tc>
          <w:tcPr>
            <w:tcW w:type="dxa" w:w="338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r>
              <w:rPr>
                <w:rFonts w:ascii="Arial" w:cs="Arial" w:eastAsia="Arial" w:hAnsi="Arial"/>
                <w:color w:val="2C2C2A"/>
                <w:sz w:val="20"/>
                <w:szCs w:val="20"/>
              </w:rPr>
              <w:t xml:space="preserve">KYC simplifié, Simulateur coûts, Checklist activation</w:t>
            </w:r>
          </w:p>
        </w:tc>
        <w:tc>
          <w:tcPr>
            <w:tcW w:type="dxa" w:w="378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r>
              <w:rPr>
                <w:rFonts w:ascii="Arial" w:cs="Arial" w:eastAsia="Arial" w:hAnsi="Arial"/>
                <w:color w:val="2C2C2A"/>
                <w:sz w:val="20"/>
                <w:szCs w:val="20"/>
              </w:rPr>
              <w:t xml:space="preserve">Réduction taux d'abandon inscription de 30-40%</w:t>
            </w:r>
          </w:p>
        </w:tc>
      </w:tr>
      <w:tr>
        <w:tc>
          <w:tcPr>
            <w:tcW w:type="dxa" w:w="220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tcPr>
          <w:p>
            <w:r>
              <w:rPr>
                <w:rFonts w:ascii="Arial" w:cs="Arial" w:eastAsia="Arial" w:hAnsi="Arial"/>
                <w:b/>
                <w:bCs/>
                <w:color w:val="BA7517"/>
                <w:sz w:val="20"/>
                <w:szCs w:val="20"/>
              </w:rPr>
              <w:t xml:space="preserve">Moyen terme (3-6 mois)</w:t>
            </w:r>
          </w:p>
        </w:tc>
        <w:tc>
          <w:tcPr>
            <w:tcW w:type="dxa" w:w="338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tcPr>
          <w:p>
            <w:r>
              <w:rPr>
                <w:rFonts w:ascii="Arial" w:cs="Arial" w:eastAsia="Arial" w:hAnsi="Arial"/>
                <w:color w:val="2C2C2A"/>
                <w:sz w:val="20"/>
                <w:szCs w:val="20"/>
              </w:rPr>
              <w:t xml:space="preserve">Assistant IA, Support PME dédié, SEO ciblé</w:t>
            </w:r>
          </w:p>
        </w:tc>
        <w:tc>
          <w:tcPr>
            <w:tcW w:type="dxa" w:w="378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tcPr>
          <w:p>
            <w:r>
              <w:rPr>
                <w:rFonts w:ascii="Arial" w:cs="Arial" w:eastAsia="Arial" w:hAnsi="Arial"/>
                <w:color w:val="2C2C2A"/>
                <w:sz w:val="20"/>
                <w:szCs w:val="20"/>
              </w:rPr>
              <w:t xml:space="preserve">Amélioration NPS de +15 points</w:t>
            </w:r>
          </w:p>
        </w:tc>
      </w:tr>
      <w:tr>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color w:val="1D9E75"/>
                <w:sz w:val="20"/>
                <w:szCs w:val="20"/>
              </w:rPr>
              <w:t xml:space="preserve">Long terme (6-12 mois)</w:t>
            </w:r>
          </w:p>
        </w:tc>
        <w:tc>
          <w:tcPr>
            <w:tcW w:type="dxa" w:w="338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color w:val="2C2C2A"/>
                <w:sz w:val="20"/>
                <w:szCs w:val="20"/>
              </w:rPr>
              <w:t xml:space="preserve">Programme parrainage, Dashboard analytique, Crédit PME</w:t>
            </w:r>
          </w:p>
        </w:tc>
        <w:tc>
          <w:tcPr>
            <w:tcW w:type="dxa" w:w="378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color w:val="2C2C2A"/>
                <w:sz w:val="20"/>
                <w:szCs w:val="20"/>
              </w:rPr>
              <w:t xml:space="preserve">Croissance acquisition organique +25%</w:t>
            </w:r>
          </w:p>
        </w:tc>
      </w:tr>
    </w:tbl>
    <w:p>
      <w:pPr>
        <w:spacing w:after="0" w:before="180"/>
      </w:pPr>
      <w:r>
        <w:t xml:space="preserve"/>
      </w:r>
    </w:p>
    <w:p>
      <w:pPr>
        <w:pStyle w:val="Heading1"/>
        <w:spacing w:after="180" w:before="360"/>
      </w:pPr>
      <w:r>
        <w:rPr>
          <w:rFonts w:ascii="Georgia" w:cs="Georgia" w:eastAsia="Georgia" w:hAnsi="Georgia"/>
          <w:b/>
          <w:bCs/>
          <w:color w:val="1E2761"/>
          <w:sz w:val="36"/>
          <w:szCs w:val="36"/>
        </w:rPr>
        <w:t xml:space="preserve">7. Conclusion</w:t>
      </w:r>
    </w:p>
    <w:p>
      <w:pPr>
        <w:pBdr>
          <w:bottom w:val="single" w:color="1E2761" w:sz="6" w:space="1"/>
        </w:pBdr>
        <w:spacing w:after="120" w:before="120"/>
      </w:pPr>
      <w:r>
        <w:t xml:space="preserve"/>
      </w:r>
    </w:p>
    <w:p>
      <w:pPr>
        <w:spacing w:after="0" w:before="80"/>
      </w:pPr>
      <w:r>
        <w:t xml:space="preserve"/>
      </w:r>
    </w:p>
    <w:p>
      <w:pPr>
        <w:spacing w:after="100" w:before="60" w:line="360"/>
      </w:pPr>
      <w:r>
        <w:rPr>
          <w:rFonts w:ascii="Arial" w:cs="Arial" w:eastAsia="Arial" w:hAnsi="Arial"/>
          <w:b w:val="false"/>
          <w:bCs w:val="false"/>
          <w:color w:val="2C2C2A"/>
          <w:sz w:val="22"/>
          <w:szCs w:val="22"/>
        </w:rPr>
        <w:t xml:space="preserve">Cette User Journey Map met en lumière une opportunité majeure pour les fintechs souhaitant adresser le segment PME en Afrique de l'Ouest : le parcours actuel souffre d'une friction concentrée sur l'inscription qui masque une expérience post-activation réellement positive.</w:t>
      </w:r>
    </w:p>
    <w:p>
      <w:pPr>
        <w:spacing w:after="100" w:before="40" w:line="360"/>
      </w:pPr>
      <w:r>
        <w:rPr>
          <w:rFonts w:ascii="Arial" w:cs="Arial" w:eastAsia="Arial" w:hAnsi="Arial"/>
          <w:b w:val="false"/>
          <w:bCs w:val="false"/>
          <w:color w:val="2C2C2A"/>
          <w:sz w:val="22"/>
          <w:szCs w:val="22"/>
        </w:rPr>
        <w:t xml:space="preserve">L'entrepreneur qui surmonte la barrière KYC devient rapidement un utilisateur satisfait et fidèle, prêt à recommander le service à son réseau. L'enjeu stratégique est donc de réduire cette barrière à l'entrée sans compromettre les exigences réglementaires de conformité.</w:t>
      </w:r>
    </w:p>
    <w:p>
      <w:pPr>
        <w:spacing w:after="120" w:before="40" w:line="360"/>
      </w:pPr>
      <w:r>
        <w:rPr>
          <w:rFonts w:ascii="Arial" w:cs="Arial" w:eastAsia="Arial" w:hAnsi="Arial"/>
          <w:b w:val="false"/>
          <w:bCs w:val="false"/>
          <w:color w:val="2C2C2A"/>
          <w:sz w:val="22"/>
          <w:szCs w:val="22"/>
        </w:rPr>
        <w:t xml:space="preserve">La priorisation des actions doit se concentrer dans un premier temps sur les phases Évaluation et Inscription, où se jouent les décisions d'adoption. Les phases aval (Utilisation et Fidélité) bénéficieront ensuite d'investissements dans l'intelligence artificielle et les programmes de rétention.</w:t>
      </w:r>
    </w:p>
    <w:p>
      <w:pPr>
        <w:pBdr>
          <w:bottom w:val="single" w:color="028090" w:sz="6" w:space="1"/>
        </w:pBdr>
        <w:spacing w:after="120" w:before="120"/>
      </w:pPr>
      <w:r>
        <w:t xml:space="preserve"/>
      </w:r>
    </w:p>
    <w:p>
      <w:pPr>
        <w:spacing w:after="60" w:before="80" w:line="360"/>
      </w:pPr>
      <w:r>
        <w:rPr>
          <w:rFonts w:ascii="Arial" w:cs="Arial" w:eastAsia="Arial" w:hAnsi="Arial"/>
          <w:b w:val="false"/>
          <w:bCs w:val="false"/>
          <w:color w:val="888780"/>
          <w:sz w:val="18"/>
          <w:szCs w:val="18"/>
        </w:rPr>
        <w:t xml:space="preserve">Document réalisé dans le cadre d'un atelier UX · 2025 · Toute reproduction soumise à autorisation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780"/>
        <w:sz w:val="18"/>
        <w:szCs w:val="18"/>
      </w:rPr>
      <w:t xml:space="preserve">User Journey Map · Service bancaire fintech · Entrepreneur PME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02809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Georgia" w:cs="Georgia" w:eastAsia="Georgia" w:hAnsi="Georgia"/>
      <w:b/>
      <w:bCs/>
      <w:color w:val="1E2761"/>
      <w:sz w:val="36"/>
      <w:szCs w:val="36"/>
    </w:rPr>
  </w:style>
  <w:style w:type="paragraph" w:styleId="Heading2">
    <w:name w:val="Heading 2"/>
    <w:basedOn w:val="Normal"/>
    <w:next w:val="Normal"/>
    <w:qFormat/>
    <w:pPr>
      <w:spacing w:after="120" w:before="280"/>
      <w:outlineLvl w:val="1"/>
    </w:pPr>
    <w:rPr>
      <w:rFonts w:ascii="Georgia" w:cs="Georgia" w:eastAsia="Georgia" w:hAnsi="Georgia"/>
      <w:b/>
      <w:bCs/>
      <w:color w:val="028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2026-04-01T20:17:33.105Z</dcterms:created>
  <dcterms:modified xsi:type="dcterms:W3CDTF">2026-04-01T20:17:33.106Z</dcterms:modified>
</cp:coreProperties>
</file>

<file path=docProps/custom.xml><?xml version="1.0" encoding="utf-8"?>
<Properties xmlns="http://schemas.openxmlformats.org/officeDocument/2006/custom-properties" xmlns:vt="http://schemas.openxmlformats.org/officeDocument/2006/docPropsVTypes"/>
</file>