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Dacarbazine</w:t>
      </w:r>
      <w:r w:rsidDel="00000000" w:rsidR="00000000" w:rsidRPr="00000000">
        <w:rPr>
          <w:rtl w:val="0"/>
        </w:rPr>
        <w:t xml:space="preserve"> (also known as </w:t>
      </w:r>
      <w:r w:rsidDel="00000000" w:rsidR="00000000" w:rsidRPr="00000000">
        <w:rPr>
          <w:b w:val="1"/>
          <w:bCs w:val="1"/>
          <w:rtl w:val="0"/>
        </w:rPr>
        <w:t xml:space="preserve">DTIC</w:t>
      </w:r>
      <w:r w:rsidDel="00000000" w:rsidR="00000000" w:rsidRPr="00000000">
        <w:rPr>
          <w:rtl w:val="0"/>
        </w:rPr>
        <w:t xml:space="preserve">) is a chemotherapy drug used primarily to treat certain cancers. Here's a concise overview: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n9gg29mfs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Dacarbazine?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Alkylating agent (a type of chemotherapy)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Triazene derivative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It works by adding alkyl groups to DNA, interfering with the DNA replication process in cancer cells, leading to cell death.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jr4xmpkn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is it used for?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Dacarbazine is FDA-approved or commonly used for: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Hodgkin lymphoma</w:t>
      </w:r>
      <w:r w:rsidDel="00000000" w:rsidR="00000000" w:rsidRPr="00000000">
        <w:rPr>
          <w:rtl w:val="0"/>
        </w:rPr>
        <w:t xml:space="preserve"> (as part of the </w:t>
      </w:r>
      <w:r w:rsidDel="00000000" w:rsidR="00000000" w:rsidRPr="00000000">
        <w:rPr>
          <w:b w:val="1"/>
          <w:bCs w:val="1"/>
          <w:rtl w:val="0"/>
        </w:rPr>
        <w:t xml:space="preserve">ABVD regimen</w:t>
      </w:r>
      <w:r w:rsidDel="00000000" w:rsidR="00000000" w:rsidRPr="00000000">
        <w:rPr>
          <w:rtl w:val="0"/>
        </w:rPr>
        <w:t xml:space="preserve">: Adriamycin, Bleomycin, Vinblastine, Dacarbazine)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Malignant melanoma</w:t>
      </w:r>
      <w:r w:rsidDel="00000000" w:rsidR="00000000" w:rsidRPr="00000000">
        <w:rPr>
          <w:rtl w:val="0"/>
        </w:rPr>
        <w:t xml:space="preserve"> (metastatic)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Off-label or investigational uses include: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tissue sarcomas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Neuroendocrine tumors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7dh9uz7e7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How is it given?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: Intravenous (IV) infusion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: Varies depending on the regimen (e.g., every 14 or 28 days)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Often given in combination</w:t>
      </w:r>
      <w:r w:rsidDel="00000000" w:rsidR="00000000" w:rsidRPr="00000000">
        <w:rPr>
          <w:rtl w:val="0"/>
        </w:rPr>
        <w:t xml:space="preserve"> with other drugs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dx7l1g1i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Common Side Effects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Nausea and vomiting</w:t>
      </w:r>
      <w:r w:rsidDel="00000000" w:rsidR="00000000" w:rsidRPr="00000000">
        <w:rPr>
          <w:rtl w:val="0"/>
        </w:rPr>
        <w:t xml:space="preserve"> (can be severe)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Flu-like symptoms</w:t>
      </w:r>
      <w:r w:rsidDel="00000000" w:rsidR="00000000" w:rsidRPr="00000000">
        <w:rPr>
          <w:rtl w:val="0"/>
        </w:rPr>
        <w:t xml:space="preserve"> (fever, muscle aches)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blood counts</w:t>
      </w:r>
      <w:r w:rsidDel="00000000" w:rsidR="00000000" w:rsidRPr="00000000">
        <w:rPr>
          <w:rtl w:val="0"/>
        </w:rPr>
        <w:t xml:space="preserve"> (increased risk of infection, bleeding, fatigue)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Liver toxicity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Injection site pain or vein irritation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4d7fw4lk2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Rare/Serious Side Effects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liver damage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bone marrow suppression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Photosensitivity (sensitivity to sunlight)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cancers (very rare, long-term risk)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dd9a9zcpn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Monitoring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on dacarbazine usually require: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counts (CBC)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Liver function tests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for signs of infection or bleeding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