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360" w:before="0" w:line="312" w:lineRule="auto"/>
        <w:rPr>
          <w:sz w:val="54"/>
          <w:szCs w:val="54"/>
        </w:rPr>
      </w:pPr>
      <w:bookmarkStart w:colFirst="0" w:colLast="0" w:name="_gr8dhdm8f53j" w:id="0"/>
      <w:bookmarkEnd w:id="0"/>
      <w:r w:rsidDel="00000000" w:rsidR="00000000" w:rsidRPr="00000000">
        <w:rPr>
          <w:sz w:val="54"/>
          <w:szCs w:val="54"/>
          <w:rtl w:val="0"/>
        </w:rPr>
        <w:t xml:space="preserve">COG ACNS1931: A phase 3 study of Selumetinib (NSC# 748727, IND# 77782) or Selumetinib in combination with Vinblastine for non-NF1, non-TSC patients with recurrent or progressive low-grade gliomas (LGGs) lacking BRAFV600E or IDH1 mutations</w:t>
      </w:r>
    </w:p>
    <w:p w:rsidR="00000000" w:rsidDel="00000000" w:rsidP="00000000" w:rsidRDefault="00000000" w:rsidRPr="00000000" w14:paraId="00000002">
      <w:pPr>
        <w:pBdr>
          <w:top w:color="auto" w:space="0" w:sz="0" w:val="none"/>
          <w:left w:color="auto" w:space="0" w:sz="0" w:val="none"/>
          <w:bottom w:color="auto" w:space="7" w:sz="0" w:val="none"/>
          <w:right w:color="auto" w:space="0" w:sz="0" w:val="none"/>
        </w:pBdr>
        <w:spacing w:line="312" w:lineRule="auto"/>
        <w:rPr>
          <w:sz w:val="24"/>
          <w:szCs w:val="24"/>
        </w:rPr>
      </w:pPr>
      <w:r w:rsidDel="00000000" w:rsidR="00000000" w:rsidRPr="00000000">
        <w:rPr>
          <w:sz w:val="24"/>
          <w:szCs w:val="24"/>
          <w:rtl w:val="0"/>
        </w:rPr>
        <w:t xml:space="preserve">MD Anderson Study Status</w:t>
      </w:r>
    </w:p>
    <w:p w:rsidR="00000000" w:rsidDel="00000000" w:rsidP="00000000" w:rsidRDefault="00000000" w:rsidRPr="00000000" w14:paraId="00000003">
      <w:pPr>
        <w:pBdr>
          <w:top w:color="auto" w:space="0" w:sz="0" w:val="none"/>
          <w:left w:color="auto" w:space="0" w:sz="0" w:val="none"/>
          <w:bottom w:color="auto" w:space="7" w:sz="0" w:val="none"/>
          <w:right w:color="auto" w:space="0" w:sz="0" w:val="none"/>
        </w:pBdr>
        <w:spacing w:line="312" w:lineRule="auto"/>
        <w:rPr>
          <w:sz w:val="24"/>
          <w:szCs w:val="24"/>
        </w:rPr>
      </w:pPr>
      <w:r w:rsidDel="00000000" w:rsidR="00000000" w:rsidRPr="00000000">
        <w:rPr>
          <w:sz w:val="24"/>
          <w:szCs w:val="24"/>
          <w:rtl w:val="0"/>
        </w:rPr>
        <w:t xml:space="preserve">Enrolling</w:t>
      </w:r>
    </w:p>
    <w:p w:rsidR="00000000" w:rsidDel="00000000" w:rsidP="00000000" w:rsidRDefault="00000000" w:rsidRPr="00000000" w14:paraId="00000004">
      <w:pPr>
        <w:pBdr>
          <w:top w:color="auto" w:space="0" w:sz="0" w:val="none"/>
          <w:left w:color="auto" w:space="0" w:sz="0" w:val="none"/>
          <w:bottom w:color="auto" w:space="7" w:sz="0" w:val="none"/>
          <w:right w:color="auto" w:space="0" w:sz="0" w:val="none"/>
        </w:pBdr>
        <w:spacing w:line="312" w:lineRule="auto"/>
        <w:rPr>
          <w:sz w:val="24"/>
          <w:szCs w:val="24"/>
        </w:rPr>
      </w:pPr>
      <w:r w:rsidDel="00000000" w:rsidR="00000000" w:rsidRPr="00000000">
        <w:rPr>
          <w:sz w:val="24"/>
          <w:szCs w:val="24"/>
          <w:rtl w:val="0"/>
        </w:rPr>
        <w:t xml:space="preserve">Treatment Agent</w:t>
      </w:r>
    </w:p>
    <w:p w:rsidR="00000000" w:rsidDel="00000000" w:rsidP="00000000" w:rsidRDefault="00000000" w:rsidRPr="00000000" w14:paraId="00000005">
      <w:pPr>
        <w:pBdr>
          <w:top w:color="auto" w:space="0" w:sz="0" w:val="none"/>
          <w:left w:color="auto" w:space="0" w:sz="0" w:val="none"/>
          <w:bottom w:color="auto" w:space="7" w:sz="0" w:val="none"/>
          <w:right w:color="auto" w:space="0" w:sz="0" w:val="none"/>
        </w:pBdr>
        <w:spacing w:line="312" w:lineRule="auto"/>
        <w:rPr>
          <w:sz w:val="24"/>
          <w:szCs w:val="24"/>
        </w:rPr>
      </w:pPr>
      <w:r w:rsidDel="00000000" w:rsidR="00000000" w:rsidRPr="00000000">
        <w:rPr>
          <w:sz w:val="24"/>
          <w:szCs w:val="24"/>
          <w:rtl w:val="0"/>
        </w:rPr>
        <w:t xml:space="preserve">Selumetinib Sulfate, Vinblastine Sulfate</w:t>
      </w:r>
    </w:p>
    <w:p w:rsidR="00000000" w:rsidDel="00000000" w:rsidP="00000000" w:rsidRDefault="00000000" w:rsidRPr="00000000" w14:paraId="00000006">
      <w:pPr>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9"/>
          <w:szCs w:val="39"/>
        </w:rPr>
      </w:pPr>
      <w:bookmarkStart w:colFirst="0" w:colLast="0" w:name="_s0gfbt2bq393" w:id="1"/>
      <w:bookmarkEnd w:id="1"/>
      <w:r w:rsidDel="00000000" w:rsidR="00000000" w:rsidRPr="00000000">
        <w:rPr>
          <w:b w:val="1"/>
          <w:bCs w:val="1"/>
          <w:sz w:val="39"/>
          <w:szCs w:val="39"/>
          <w:rtl w:val="0"/>
        </w:rPr>
        <w:t xml:space="preserve">Description</w:t>
      </w:r>
    </w:p>
    <w:p w:rsidR="00000000" w:rsidDel="00000000" w:rsidP="00000000" w:rsidRDefault="00000000" w:rsidRPr="00000000" w14:paraId="00000008">
      <w:pPr>
        <w:spacing w:after="280" w:lineRule="auto"/>
        <w:rPr>
          <w:color w:val="3a3a3a"/>
          <w:sz w:val="27"/>
          <w:szCs w:val="27"/>
        </w:rPr>
      </w:pPr>
      <w:r w:rsidDel="00000000" w:rsidR="00000000" w:rsidRPr="00000000">
        <w:rPr>
          <w:color w:val="3a3a3a"/>
          <w:sz w:val="27"/>
          <w:szCs w:val="27"/>
          <w:rtl w:val="0"/>
        </w:rPr>
        <w:t xml:space="preserve">This phase III trial investigates the best dose of vinblastine in combination with selumetinib and the benefit of adding vinblastine to selumetinib compared to selumetinib alone in treating children and young adults with low-grade glioma (a common type of brain cancer) that has come back after prior treatment (recurrent) or does not respond to therapy (progressive). Selumetinib is a drug that works by blocking a protein that lets tumor cells grow without stopping. Vinblastine blocks cell growth by stopping cell division and may kill cancer cells. Giving selumetinib in combination with vinblastine may work better than selumetinib alone in treating recurrent or progressive low-grade glioma.</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