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GEMOX chemotherapy regimen</w:t>
      </w:r>
      <w:r w:rsidDel="00000000" w:rsidR="00000000" w:rsidRPr="00000000">
        <w:rPr>
          <w:rtl w:val="0"/>
        </w:rPr>
        <w:t xml:space="preserve"> is a combination chemotherapy treatment primarily used for various types of cancers, especially </w:t>
      </w:r>
      <w:r w:rsidDel="00000000" w:rsidR="00000000" w:rsidRPr="00000000">
        <w:rPr>
          <w:b w:val="1"/>
          <w:bCs w:val="1"/>
          <w:rtl w:val="0"/>
        </w:rPr>
        <w:t xml:space="preserve">biliary tract cancers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pancreatic cancer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hepatocellular carcinoma</w:t>
      </w:r>
      <w:r w:rsidDel="00000000" w:rsidR="00000000" w:rsidRPr="00000000">
        <w:rPr>
          <w:rtl w:val="0"/>
        </w:rPr>
        <w:t xml:space="preserve">, and sometimes </w:t>
      </w:r>
      <w:r w:rsidDel="00000000" w:rsidR="00000000" w:rsidRPr="00000000">
        <w:rPr>
          <w:b w:val="1"/>
          <w:bCs w:val="1"/>
          <w:rtl w:val="0"/>
        </w:rPr>
        <w:t xml:space="preserve">relapsed/refractory lymphomas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ovarian cancer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wld9w6sw8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GEMOX Regimen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Drugs used: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</w:t>
      </w:r>
      <w:r w:rsidDel="00000000" w:rsidR="00000000" w:rsidRPr="00000000">
        <w:rPr>
          <w:rtl w:val="0"/>
        </w:rPr>
        <w:t xml:space="preserve">: Gemcitabine (a nucleoside analog that inhibits DNA synthesis)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</w:t>
      </w:r>
      <w:r w:rsidDel="00000000" w:rsidR="00000000" w:rsidRPr="00000000">
        <w:rPr>
          <w:rtl w:val="0"/>
        </w:rPr>
        <w:t xml:space="preserve">: Oxaliplatin (a platinum-based chemotherapy that causes DNA crosslinking)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btdms56hd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GEMOX Schedule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commonly used schedule, but timing may vary slightly depending on the institution and cancer type: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5qzpon7850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Cycle (every 2 weeks)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Oxaliplatin</w:t>
      </w:r>
      <w:r w:rsidDel="00000000" w:rsidR="00000000" w:rsidRPr="00000000">
        <w:rPr>
          <w:rtl w:val="0"/>
        </w:rPr>
        <w:t xml:space="preserve"> 85–100 mg/m² IV over 2 hours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 1 or 2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Gemcitabine</w:t>
      </w:r>
      <w:r w:rsidDel="00000000" w:rsidR="00000000" w:rsidRPr="00000000">
        <w:rPr>
          <w:rtl w:val="0"/>
        </w:rPr>
        <w:t xml:space="preserve"> 1,000 mg/m² IV over 30 minutes (may also be given on Day 1, 2, or 8 depending on protocol)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cycle is typically repeated every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, and the number of cycles varies based on tumor response and patient tolerance (commonly 6–12 cycles).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wvry47u36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Side Effects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Gemcitabine-related: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Nausea/vomiting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Myelosuppression (low blood counts)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Fever/flu-like symptoms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Elevated liver enzymes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Oxaliplatin-related: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Peripheral neuropathy</w:t>
      </w:r>
      <w:r w:rsidDel="00000000" w:rsidR="00000000" w:rsidRPr="00000000">
        <w:rPr>
          <w:rtl w:val="0"/>
        </w:rPr>
        <w:t xml:space="preserve"> (cold sensitivity or numbness/tingling, especially in hands/feet)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Nausea/vomiting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Diarrhea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Myelosuppression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Hypersensitivity reactions (rare)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xjlshvnt6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Supportive Medications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Antiemetics (e.g., ondansetron) for nausea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factors (e.g., G-CSF) if neutropenia occurs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Calcium and magnesium infusions (sometimes used to reduce oxaliplatin-related neuropathy)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cmxyiag7k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Indications for Use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Biliary tract cancer (cholangiocarcinoma)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Pancreatic cancer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Liver cancer (HCC)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Recurrent or refractory lymphomas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Ovarian cancer (second-line in platinum-sensitive cases)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