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IFL chemotherapy regimen</w:t>
      </w:r>
      <w:r w:rsidDel="00000000" w:rsidR="00000000" w:rsidRPr="00000000">
        <w:rPr>
          <w:rtl w:val="0"/>
        </w:rPr>
        <w:t xml:space="preserve"> is a combination chemotherapy protocol used primarily to treat </w:t>
      </w:r>
      <w:r w:rsidDel="00000000" w:rsidR="00000000" w:rsidRPr="00000000">
        <w:rPr>
          <w:b w:val="1"/>
          <w:bCs w:val="1"/>
          <w:rtl w:val="0"/>
        </w:rPr>
        <w:t xml:space="preserve">metastatic colorectal cancer</w:t>
      </w:r>
      <w:r w:rsidDel="00000000" w:rsidR="00000000" w:rsidRPr="00000000">
        <w:rPr>
          <w:rtl w:val="0"/>
        </w:rPr>
        <w:t xml:space="preserve">. It includes three drugs: </w:t>
      </w:r>
      <w:r w:rsidDel="00000000" w:rsidR="00000000" w:rsidRPr="00000000">
        <w:rPr>
          <w:b w:val="1"/>
          <w:bCs w:val="1"/>
          <w:rtl w:val="0"/>
        </w:rPr>
        <w:t xml:space="preserve">Irinotecan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Fluorouracil (5-FU)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Leucovorin (folinic acid)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6mlas7yc6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IFL Regimen Components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Irinotecan (CPT-11)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Topoisomerase I inhibitor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Prevents DNA from unwinding, leading to cell death.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Fluorouracil (5-FU)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Antimetabolite (pyrimidine analog)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Inhibits DNA synthesis.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Leucovorin (Folinic acid)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Chemotherapy modulator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Enhances the binding of 5-FU to its target enzyme, increasing effectiveness.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oglv100gd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Typical Dosing Schedule (Weekly Regimen)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once weekly for 4 weeks, followed by 2 weeks of rest (6-week cycle):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 of each week: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Irinotecan IV over 90 minutes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Leucovorin IV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5-FU IV bolus (immediately after Leucovorin)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os44akh8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💉 Administration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drugs are typically administered </w:t>
      </w:r>
      <w:r w:rsidDel="00000000" w:rsidR="00000000" w:rsidRPr="00000000">
        <w:rPr>
          <w:b w:val="1"/>
          <w:bCs w:val="1"/>
          <w:rtl w:val="0"/>
        </w:rPr>
        <w:t xml:space="preserve">intravenously (IV)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given in an </w:t>
      </w:r>
      <w:r w:rsidDel="00000000" w:rsidR="00000000" w:rsidRPr="00000000">
        <w:rPr>
          <w:b w:val="1"/>
          <w:bCs w:val="1"/>
          <w:rtl w:val="0"/>
        </w:rPr>
        <w:t xml:space="preserve">outpatient</w:t>
      </w:r>
      <w:r w:rsidDel="00000000" w:rsidR="00000000" w:rsidRPr="00000000">
        <w:rPr>
          <w:rtl w:val="0"/>
        </w:rPr>
        <w:t xml:space="preserve"> setting.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m7j0lrrh7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Common Side Effects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Gastrointestinal:</w:t>
      </w:r>
      <w:r w:rsidDel="00000000" w:rsidR="00000000" w:rsidRPr="00000000">
        <w:rPr>
          <w:rtl w:val="0"/>
        </w:rPr>
        <w:t xml:space="preserve"> Diarrhea (can be severe), nausea, vomiting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Hematologic:</w:t>
      </w:r>
      <w:r w:rsidDel="00000000" w:rsidR="00000000" w:rsidRPr="00000000">
        <w:rPr>
          <w:rtl w:val="0"/>
        </w:rPr>
        <w:t xml:space="preserve"> Neutropenia, anemia, thrombocytopenia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Fatigue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Mucositis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Alopecia (hair loss)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6m7r7v5dr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Comparison with FOLFIRI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IFL was commonly used before </w:t>
      </w:r>
      <w:r w:rsidDel="00000000" w:rsidR="00000000" w:rsidRPr="00000000">
        <w:rPr>
          <w:b w:val="1"/>
          <w:bCs w:val="1"/>
          <w:rtl w:val="0"/>
        </w:rPr>
        <w:t xml:space="preserve">FOLFIRI</w:t>
      </w:r>
      <w:r w:rsidDel="00000000" w:rsidR="00000000" w:rsidRPr="00000000">
        <w:rPr>
          <w:rtl w:val="0"/>
        </w:rPr>
        <w:t xml:space="preserve"> (Folinic acid, 5-FU, Irinotecan with infusion) became more widespread.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FOLFIRI includes </w:t>
      </w:r>
      <w:r w:rsidDel="00000000" w:rsidR="00000000" w:rsidRPr="00000000">
        <w:rPr>
          <w:b w:val="1"/>
          <w:bCs w:val="1"/>
          <w:rtl w:val="0"/>
        </w:rPr>
        <w:t xml:space="preserve">continuous infusion 5-FU</w:t>
      </w:r>
      <w:r w:rsidDel="00000000" w:rsidR="00000000" w:rsidRPr="00000000">
        <w:rPr>
          <w:rtl w:val="0"/>
        </w:rPr>
        <w:t xml:space="preserve">, which has shown </w:t>
      </w:r>
      <w:r w:rsidDel="00000000" w:rsidR="00000000" w:rsidRPr="00000000">
        <w:rPr>
          <w:b w:val="1"/>
          <w:bCs w:val="1"/>
          <w:rtl w:val="0"/>
        </w:rPr>
        <w:t xml:space="preserve">better tolerability and efficacy</w:t>
      </w:r>
      <w:r w:rsidDel="00000000" w:rsidR="00000000" w:rsidRPr="00000000">
        <w:rPr>
          <w:rtl w:val="0"/>
        </w:rPr>
        <w:t xml:space="preserve"> than bolus 5-FU used in IFL.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4nez7g8z0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Clinical Use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Now largely </w:t>
      </w:r>
      <w:r w:rsidDel="00000000" w:rsidR="00000000" w:rsidRPr="00000000">
        <w:rPr>
          <w:b w:val="1"/>
          <w:bCs w:val="1"/>
          <w:rtl w:val="0"/>
        </w:rPr>
        <w:t xml:space="preserve">replaced by FOLFIRI or FOLFOX</w:t>
      </w:r>
      <w:r w:rsidDel="00000000" w:rsidR="00000000" w:rsidRPr="00000000">
        <w:rPr>
          <w:rtl w:val="0"/>
        </w:rPr>
        <w:t xml:space="preserve"> in modern colorectal cancer treatment protocols.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of historical and comparative interest in clinical research.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