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Персонализированный анализ кожи и программа ухода для клиента {{ name }}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Анализ состояния кожи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skin_condition_analysis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Влияние образа жизни на кожу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lifestyle_impact_on_skin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Персональные рекомендации по уходу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personal_skincare_recommendations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Прогноз улучшений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 {{ improvement_forecast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Заключение и поддержка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