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35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1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End w:id="21"/>
    <w:bookmarkStart w:id="22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2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2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2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2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2"/>
    <w:bookmarkStart w:id="25" w:name="상품-체계"/>
    <w:p>
      <w:pPr>
        <w:pStyle w:val="Heading2"/>
      </w:pPr>
      <w:r>
        <w:t xml:space="preserve">4. 상품 체계</w:t>
      </w:r>
    </w:p>
    <w:bookmarkStart w:id="23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3"/>
        </w:numPr>
        <w:pStyle w:val="Compact"/>
      </w:pPr>
      <w:r>
        <w:t xml:space="preserve">Learn</w:t>
      </w:r>
    </w:p>
    <w:p>
      <w:pPr>
        <w:numPr>
          <w:ilvl w:val="0"/>
          <w:numId w:val="1003"/>
        </w:numPr>
        <w:pStyle w:val="Compact"/>
      </w:pPr>
      <w:r>
        <w:t xml:space="preserve">Verify</w:t>
      </w:r>
    </w:p>
    <w:p>
      <w:pPr>
        <w:numPr>
          <w:ilvl w:val="0"/>
          <w:numId w:val="1003"/>
        </w:numPr>
        <w:pStyle w:val="Compact"/>
      </w:pPr>
      <w:r>
        <w:t xml:space="preserve">Learn &amp; Verify</w:t>
      </w:r>
    </w:p>
    <w:p>
      <w:pPr>
        <w:numPr>
          <w:ilvl w:val="0"/>
          <w:numId w:val="1003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3"/>
    <w:bookmarkStart w:id="24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4"/>
        </w:numPr>
        <w:pStyle w:val="Compact"/>
      </w:pPr>
      <w:r>
        <w:t xml:space="preserve">Developer</w:t>
      </w:r>
    </w:p>
    <w:p>
      <w:pPr>
        <w:numPr>
          <w:ilvl w:val="0"/>
          <w:numId w:val="1004"/>
        </w:numPr>
        <w:pStyle w:val="Compact"/>
      </w:pPr>
      <w:r>
        <w:t xml:space="preserve">Team</w:t>
      </w:r>
    </w:p>
    <w:p>
      <w:pPr>
        <w:numPr>
          <w:ilvl w:val="0"/>
          <w:numId w:val="1004"/>
        </w:numPr>
        <w:pStyle w:val="Compact"/>
      </w:pPr>
      <w:r>
        <w:t xml:space="preserve">Enterprise</w:t>
      </w:r>
    </w:p>
    <w:p>
      <w:pPr>
        <w:numPr>
          <w:ilvl w:val="0"/>
          <w:numId w:val="1004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p>
      <w:pPr>
        <w:pStyle w:val="BodyText"/>
      </w:pPr>
      <w:r>
        <w:t xml:space="preserve">Unlimited는 등록·활성화 가능한 System·Program 수 제한만 제거하는 옵션이며, AI·학습·GPU·컴퓨팅·Storage·전문가 지원까지 무제한을 의미하지 않는다(</w:t>
      </w:r>
      <w:r>
        <w:rPr>
          <w:rStyle w:val="VerbatimChar"/>
        </w:rPr>
        <w:t xml:space="preserve">docs/v2/00_MASTER_INDEX.md</w:t>
      </w:r>
      <w:r>
        <w:t xml:space="preserve"> </w:t>
      </w:r>
      <w:r>
        <w:t xml:space="preserve">§4). Seat, Credit, 동시 실행, Compute, Storage는 별도 계약 한도를 적용한다.</w:t>
      </w:r>
    </w:p>
    <w:bookmarkEnd w:id="24"/>
    <w:bookmarkEnd w:id="25"/>
    <w:bookmarkStart w:id="26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5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5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5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5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5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5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5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5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5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5"/>
        </w:numPr>
        <w:pStyle w:val="Compact"/>
      </w:pPr>
      <w:r>
        <w:t xml:space="preserve">OLicense Adapter: ORUDA/OLicense의 Entitlement와 Credit을 검증·소비·보고한다.</w:t>
      </w:r>
    </w:p>
    <w:bookmarkEnd w:id="26"/>
    <w:bookmarkStart w:id="30" w:name="핵심-경계"/>
    <w:p>
      <w:pPr>
        <w:pStyle w:val="Heading2"/>
      </w:pPr>
      <w:r>
        <w:t xml:space="preserve">6. 핵심 경계</w:t>
      </w:r>
    </w:p>
    <w:bookmarkStart w:id="27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27"/>
    <w:bookmarkStart w:id="28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28"/>
    <w:bookmarkStart w:id="29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Learning에 한정한다.</w:t>
      </w:r>
    </w:p>
    <w:bookmarkEnd w:id="29"/>
    <w:bookmarkEnd w:id="30"/>
    <w:bookmarkStart w:id="32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6"/>
        </w:numPr>
        <w:pStyle w:val="Compact"/>
      </w:pPr>
      <w:r>
        <w:t xml:space="preserve">Business Plan</w:t>
      </w:r>
    </w:p>
    <w:p>
      <w:pPr>
        <w:numPr>
          <w:ilvl w:val="0"/>
          <w:numId w:val="1006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6"/>
        </w:numPr>
        <w:pStyle w:val="Compact"/>
      </w:pPr>
      <w:r>
        <w:t xml:space="preserve">Service Policy</w:t>
      </w:r>
    </w:p>
    <w:p>
      <w:pPr>
        <w:numPr>
          <w:ilvl w:val="0"/>
          <w:numId w:val="1006"/>
        </w:numPr>
        <w:pStyle w:val="Compact"/>
      </w:pPr>
      <w:r>
        <w:t xml:space="preserve">Program Specification</w:t>
      </w:r>
    </w:p>
    <w:p>
      <w:pPr>
        <w:numPr>
          <w:ilvl w:val="0"/>
          <w:numId w:val="1006"/>
        </w:numPr>
        <w:pStyle w:val="Compact"/>
      </w:pPr>
      <w:r>
        <w:t xml:space="preserve">OReview Specification</w:t>
      </w:r>
    </w:p>
    <w:p>
      <w:pPr>
        <w:numPr>
          <w:ilvl w:val="0"/>
          <w:numId w:val="1006"/>
        </w:numPr>
        <w:pStyle w:val="Compact"/>
      </w:pPr>
      <w:r>
        <w:t xml:space="preserve">OVerification Specification</w:t>
      </w:r>
    </w:p>
    <w:p>
      <w:pPr>
        <w:numPr>
          <w:ilvl w:val="0"/>
          <w:numId w:val="1006"/>
        </w:numPr>
        <w:pStyle w:val="Compact"/>
      </w:pPr>
      <w:r>
        <w:t xml:space="preserve">OImprovement Specification</w:t>
      </w:r>
    </w:p>
    <w:p>
      <w:pPr>
        <w:numPr>
          <w:ilvl w:val="0"/>
          <w:numId w:val="1006"/>
        </w:numPr>
        <w:pStyle w:val="Compact"/>
      </w:pPr>
      <w:r>
        <w:t xml:space="preserve">UI/UX Specification</w:t>
      </w:r>
    </w:p>
    <w:p>
      <w:pPr>
        <w:numPr>
          <w:ilvl w:val="0"/>
          <w:numId w:val="1006"/>
        </w:numPr>
        <w:pStyle w:val="Compact"/>
      </w:pPr>
      <w:r>
        <w:t xml:space="preserve">Architecture and Data Model</w:t>
      </w:r>
    </w:p>
    <w:p>
      <w:pPr>
        <w:numPr>
          <w:ilvl w:val="0"/>
          <w:numId w:val="1006"/>
        </w:numPr>
        <w:pStyle w:val="Compact"/>
      </w:pPr>
      <w:r>
        <w:t xml:space="preserve">API/Event/Token Contract</w:t>
      </w:r>
    </w:p>
    <w:p>
      <w:pPr>
        <w:numPr>
          <w:ilvl w:val="0"/>
          <w:numId w:val="1006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6"/>
        </w:numPr>
        <w:pStyle w:val="Compact"/>
      </w:pPr>
      <w:r>
        <w:t xml:space="preserve">Security and Privacy Design</w:t>
      </w:r>
    </w:p>
    <w:p>
      <w:pPr>
        <w:numPr>
          <w:ilvl w:val="0"/>
          <w:numId w:val="1006"/>
        </w:numPr>
        <w:pStyle w:val="Compact"/>
      </w:pPr>
      <w:r>
        <w:t xml:space="preserve">Test Strategy and Fixtures</w:t>
      </w:r>
    </w:p>
    <w:p>
      <w:pPr>
        <w:numPr>
          <w:ilvl w:val="0"/>
          <w:numId w:val="1006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6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6"/>
        </w:numPr>
        <w:pStyle w:val="Compact"/>
      </w:pPr>
      <w:r>
        <w:t xml:space="preserve">Component Model and AI Agent Methodology (</w:t>
      </w:r>
      <w:hyperlink r:id="rId31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Knowledge Pattern Library and Recursive Detection Learning Design</w:t>
      </w:r>
    </w:p>
    <w:bookmarkEnd w:id="32"/>
    <w:bookmarkStart w:id="33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3"/>
    <w:bookmarkStart w:id="34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2026-08-07T18:01:30Z</dcterms:created>
  <dcterms:modified xsi:type="dcterms:W3CDTF">2026-08-07T18:01:30Z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