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0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3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0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</w:t>
      </w:r>
    </w:p>
    <w:bookmarkEnd w:id="29"/>
    <w:bookmarkEnd w:id="30"/>
    <w:bookmarkStart w:id="36" w:name="oreview"/>
    <w:p>
      <w:pPr>
        <w:pStyle w:val="Heading2"/>
      </w:pPr>
      <w:r>
        <w:t xml:space="preserve">5. OReview</w:t>
      </w:r>
    </w:p>
    <w:bookmarkStart w:id="31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1"/>
    <w:bookmarkStart w:id="32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2"/>
    <w:bookmarkStart w:id="33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3"/>
    <w:bookmarkStart w:id="35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7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7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7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5"/>
    <w:bookmarkEnd w:id="36"/>
    <w:bookmarkStart w:id="40" w:name="overification"/>
    <w:p>
      <w:pPr>
        <w:pStyle w:val="Heading2"/>
      </w:pPr>
      <w:r>
        <w:t xml:space="preserve">6. OVerification</w:t>
      </w:r>
    </w:p>
    <w:bookmarkStart w:id="37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7"/>
    <w:bookmarkStart w:id="38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8"/>
    <w:bookmarkStart w:id="39" w:name="수용기준-2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39"/>
    <w:bookmarkEnd w:id="40"/>
    <w:bookmarkStart w:id="43" w:name="oimprovement"/>
    <w:p>
      <w:pPr>
        <w:pStyle w:val="Heading2"/>
      </w:pPr>
      <w:r>
        <w:t xml:space="preserve">7. OImprovement</w:t>
      </w:r>
    </w:p>
    <w:bookmarkStart w:id="41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1"/>
    <w:bookmarkStart w:id="42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2"/>
    <w:bookmarkEnd w:id="43"/>
    <w:bookmarkStart w:id="49" w:name="omemory"/>
    <w:p>
      <w:pPr>
        <w:pStyle w:val="Heading2"/>
      </w:pPr>
      <w:r>
        <w:t xml:space="preserve">7-1. OMemory</w:t>
      </w:r>
    </w:p>
    <w:bookmarkStart w:id="44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4"/>
    <w:bookmarkStart w:id="45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5"/>
    <w:bookmarkStart w:id="46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2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2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2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2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2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6"/>
    <w:bookmarkStart w:id="47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7"/>
    <w:bookmarkStart w:id="48" w:name="수용기준-3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8"/>
    <w:bookmarkEnd w:id="49"/>
    <w:bookmarkStart w:id="50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4"/>
        </w:numPr>
        <w:pStyle w:val="Compact"/>
      </w:pPr>
      <w:r>
        <w:t xml:space="preserve">Immutable Evidence Metadata</w:t>
      </w:r>
    </w:p>
    <w:p>
      <w:pPr>
        <w:numPr>
          <w:ilvl w:val="0"/>
          <w:numId w:val="1014"/>
        </w:numPr>
        <w:pStyle w:val="Compact"/>
      </w:pPr>
      <w:r>
        <w:t xml:space="preserve">Artifact Hash</w:t>
      </w:r>
    </w:p>
    <w:p>
      <w:pPr>
        <w:numPr>
          <w:ilvl w:val="0"/>
          <w:numId w:val="1014"/>
        </w:numPr>
        <w:pStyle w:val="Compact"/>
      </w:pPr>
      <w:r>
        <w:t xml:space="preserve">Policy Digest</w:t>
      </w:r>
    </w:p>
    <w:p>
      <w:pPr>
        <w:numPr>
          <w:ilvl w:val="0"/>
          <w:numId w:val="1014"/>
        </w:numPr>
        <w:pStyle w:val="Compact"/>
      </w:pPr>
      <w:r>
        <w:t xml:space="preserve">Environment Manifest</w:t>
      </w:r>
    </w:p>
    <w:p>
      <w:pPr>
        <w:numPr>
          <w:ilvl w:val="0"/>
          <w:numId w:val="1014"/>
        </w:numPr>
        <w:pStyle w:val="Compact"/>
      </w:pPr>
      <w:r>
        <w:t xml:space="preserve">Tool Version</w:t>
      </w:r>
    </w:p>
    <w:p>
      <w:pPr>
        <w:numPr>
          <w:ilvl w:val="0"/>
          <w:numId w:val="1014"/>
        </w:numPr>
        <w:pStyle w:val="Compact"/>
      </w:pPr>
      <w:r>
        <w:t xml:space="preserve">Input/Output Digest</w:t>
      </w:r>
    </w:p>
    <w:p>
      <w:pPr>
        <w:numPr>
          <w:ilvl w:val="0"/>
          <w:numId w:val="1014"/>
        </w:numPr>
        <w:pStyle w:val="Compact"/>
      </w:pPr>
      <w:r>
        <w:t xml:space="preserve">Finding/Decision Link</w:t>
      </w:r>
    </w:p>
    <w:p>
      <w:pPr>
        <w:numPr>
          <w:ilvl w:val="0"/>
          <w:numId w:val="1014"/>
        </w:numPr>
        <w:pStyle w:val="Compact"/>
      </w:pPr>
      <w:r>
        <w:t xml:space="preserve">Review Receipt</w:t>
      </w:r>
    </w:p>
    <w:p>
      <w:pPr>
        <w:numPr>
          <w:ilvl w:val="0"/>
          <w:numId w:val="1014"/>
        </w:numPr>
        <w:pStyle w:val="Compact"/>
      </w:pPr>
      <w:r>
        <w:t xml:space="preserve">Verification Receipt</w:t>
      </w:r>
    </w:p>
    <w:p>
      <w:pPr>
        <w:numPr>
          <w:ilvl w:val="0"/>
          <w:numId w:val="1014"/>
        </w:numPr>
        <w:pStyle w:val="Compact"/>
      </w:pPr>
      <w:r>
        <w:t xml:space="preserve">Improvement Receipt</w:t>
      </w:r>
    </w:p>
    <w:p>
      <w:pPr>
        <w:numPr>
          <w:ilvl w:val="0"/>
          <w:numId w:val="1014"/>
        </w:numPr>
        <w:pStyle w:val="Compact"/>
      </w:pPr>
      <w:r>
        <w:t xml:space="preserve">Delivery Receipt</w:t>
      </w:r>
    </w:p>
    <w:p>
      <w:pPr>
        <w:numPr>
          <w:ilvl w:val="0"/>
          <w:numId w:val="1014"/>
        </w:numPr>
        <w:pStyle w:val="Compact"/>
      </w:pPr>
      <w:r>
        <w:t xml:space="preserve">Retention/Deletion Receipt</w:t>
      </w:r>
    </w:p>
    <w:bookmarkEnd w:id="50"/>
    <w:bookmarkStart w:id="51" w:name="ogit"/>
    <w:p>
      <w:pPr>
        <w:pStyle w:val="Heading2"/>
      </w:pPr>
      <w:r>
        <w:t xml:space="preserve">9. OGit</w:t>
      </w:r>
    </w:p>
    <w:p>
      <w:pPr>
        <w:numPr>
          <w:ilvl w:val="0"/>
          <w:numId w:val="1015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5"/>
        </w:numPr>
        <w:pStyle w:val="Compact"/>
      </w:pPr>
      <w:r>
        <w:t xml:space="preserve">Worktree 생성·폐기</w:t>
      </w:r>
    </w:p>
    <w:p>
      <w:pPr>
        <w:numPr>
          <w:ilvl w:val="0"/>
          <w:numId w:val="1015"/>
        </w:numPr>
        <w:pStyle w:val="Compact"/>
      </w:pPr>
      <w:r>
        <w:t xml:space="preserve">Branch Naming</w:t>
      </w:r>
    </w:p>
    <w:p>
      <w:pPr>
        <w:numPr>
          <w:ilvl w:val="0"/>
          <w:numId w:val="1015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5"/>
        </w:numPr>
        <w:pStyle w:val="Compact"/>
      </w:pPr>
      <w:r>
        <w:t xml:space="preserve">Commit Message 생성</w:t>
      </w:r>
    </w:p>
    <w:p>
      <w:pPr>
        <w:numPr>
          <w:ilvl w:val="0"/>
          <w:numId w:val="1015"/>
        </w:numPr>
        <w:pStyle w:val="Compact"/>
      </w:pPr>
      <w:r>
        <w:t xml:space="preserve">Push 승인</w:t>
      </w:r>
    </w:p>
    <w:p>
      <w:pPr>
        <w:numPr>
          <w:ilvl w:val="0"/>
          <w:numId w:val="1015"/>
        </w:numPr>
        <w:pStyle w:val="Compact"/>
      </w:pPr>
      <w:r>
        <w:t xml:space="preserve">Draft PR 생성</w:t>
      </w:r>
    </w:p>
    <w:p>
      <w:pPr>
        <w:numPr>
          <w:ilvl w:val="0"/>
          <w:numId w:val="1015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5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5"/>
        </w:numPr>
        <w:pStyle w:val="Compact"/>
      </w:pPr>
      <w:r>
        <w:t xml:space="preserve">CI 상태 회수</w:t>
      </w:r>
    </w:p>
    <w:p>
      <w:pPr>
        <w:numPr>
          <w:ilvl w:val="0"/>
          <w:numId w:val="1015"/>
        </w:numPr>
        <w:pStyle w:val="Compact"/>
      </w:pPr>
      <w:r>
        <w:t xml:space="preserve">Review Comment 수집</w:t>
      </w:r>
    </w:p>
    <w:p>
      <w:pPr>
        <w:numPr>
          <w:ilvl w:val="0"/>
          <w:numId w:val="1015"/>
        </w:numPr>
        <w:pStyle w:val="Compact"/>
      </w:pPr>
      <w:r>
        <w:t xml:space="preserve">Merge 권고</w:t>
      </w:r>
    </w:p>
    <w:p>
      <w:pPr>
        <w:numPr>
          <w:ilvl w:val="0"/>
          <w:numId w:val="1015"/>
        </w:numPr>
        <w:pStyle w:val="Compact"/>
      </w:pPr>
      <w:r>
        <w:t xml:space="preserve">Rollback 정보 제공</w:t>
      </w:r>
    </w:p>
    <w:p>
      <w:pPr>
        <w:numPr>
          <w:ilvl w:val="0"/>
          <w:numId w:val="1015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5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5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1"/>
    <w:bookmarkStart w:id="52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6"/>
        </w:numPr>
        <w:pStyle w:val="Compact"/>
      </w:pPr>
      <w:r>
        <w:t xml:space="preserve">Web Report</w:t>
      </w:r>
    </w:p>
    <w:p>
      <w:pPr>
        <w:numPr>
          <w:ilvl w:val="0"/>
          <w:numId w:val="1016"/>
        </w:numPr>
        <w:pStyle w:val="Compact"/>
      </w:pPr>
      <w:r>
        <w:t xml:space="preserve">Program Profile</w:t>
      </w:r>
    </w:p>
    <w:p>
      <w:pPr>
        <w:numPr>
          <w:ilvl w:val="0"/>
          <w:numId w:val="1016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6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6"/>
        </w:numPr>
        <w:pStyle w:val="Compact"/>
      </w:pPr>
      <w:r>
        <w:t xml:space="preserve">Evidence Pack</w:t>
      </w:r>
    </w:p>
    <w:p>
      <w:pPr>
        <w:numPr>
          <w:ilvl w:val="0"/>
          <w:numId w:val="1016"/>
        </w:numPr>
        <w:pStyle w:val="Compact"/>
      </w:pPr>
      <w:r>
        <w:t xml:space="preserve">Patch/Diff</w:t>
      </w:r>
    </w:p>
    <w:p>
      <w:pPr>
        <w:numPr>
          <w:ilvl w:val="0"/>
          <w:numId w:val="1016"/>
        </w:numPr>
        <w:pStyle w:val="Compact"/>
      </w:pPr>
      <w:r>
        <w:t xml:space="preserve">Draft PR</w:t>
      </w:r>
    </w:p>
    <w:p>
      <w:pPr>
        <w:numPr>
          <w:ilvl w:val="0"/>
          <w:numId w:val="1016"/>
        </w:numPr>
        <w:pStyle w:val="Compact"/>
      </w:pPr>
      <w:r>
        <w:t xml:space="preserve">Executive Summary</w:t>
      </w:r>
    </w:p>
    <w:p>
      <w:pPr>
        <w:numPr>
          <w:ilvl w:val="0"/>
          <w:numId w:val="1016"/>
        </w:numPr>
        <w:pStyle w:val="Compact"/>
      </w:pPr>
      <w:r>
        <w:t xml:space="preserve">Technical Report</w:t>
      </w:r>
    </w:p>
    <w:p>
      <w:pPr>
        <w:numPr>
          <w:ilvl w:val="0"/>
          <w:numId w:val="1016"/>
        </w:numPr>
        <w:pStyle w:val="Compact"/>
      </w:pPr>
      <w:r>
        <w:t xml:space="preserve">Deletion Receipt</w:t>
      </w:r>
    </w:p>
    <w:bookmarkEnd w:id="52"/>
    <w:bookmarkStart w:id="57" w:name="onotify"/>
    <w:p>
      <w:pPr>
        <w:pStyle w:val="Heading2"/>
      </w:pPr>
      <w:r>
        <w:t xml:space="preserve">10-1. ONotify</w:t>
      </w:r>
    </w:p>
    <w:bookmarkStart w:id="53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3"/>
    <w:bookmarkStart w:id="54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7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7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7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7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7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4"/>
    <w:bookmarkStart w:id="55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5"/>
    <w:bookmarkStart w:id="56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8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8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8"/>
        </w:numPr>
        <w:pStyle w:val="Compact"/>
      </w:pPr>
      <w:r>
        <w:t xml:space="preserve">고객이 구독하지 않은 채널로는 발송하지 않는다(Opt-in 채널만 사용)</w:t>
      </w:r>
    </w:p>
    <w:bookmarkEnd w:id="56"/>
    <w:bookmarkEnd w:id="57"/>
    <w:bookmarkStart w:id="58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19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19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19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0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0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0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0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19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19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19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19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19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19"/>
        </w:numPr>
        <w:pStyle w:val="Compact"/>
      </w:pPr>
      <w:r>
        <w:t xml:space="preserve">NFR-ACCESS: 관리자·개발자·감사자 역할 분리</w:t>
      </w:r>
    </w:p>
    <w:bookmarkEnd w:id="58"/>
    <w:bookmarkStart w:id="59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2026-08-07T16:35:18Z</dcterms:created>
  <dcterms:modified xsi:type="dcterms:W3CDTF">2026-08-07T16:35:18Z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