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6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9" w:name="component-모델cbd"/>
    <w:p>
      <w:pPr>
        <w:pStyle w:val="Heading2"/>
      </w:pPr>
      <w:r>
        <w:t xml:space="preserve">2. Component 모델(CBD)</w:t>
      </w:r>
    </w:p>
    <w:p>
      <w:pPr>
        <w:pStyle w:val="FirstParagraph"/>
      </w:pPr>
      <w:r>
        <w:t xml:space="preserve">ONSure 자신도 이미 이 원칙을 적용받는다:</w:t>
      </w:r>
      <w:r>
        <w:t xml:space="preserve"> </w:t>
      </w:r>
      <w:r>
        <w:rPr>
          <w:rStyle w:val="VerbatimChar"/>
        </w:rPr>
        <w:t xml:space="preserve">contracts/module-boundary.v1.json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contracts/core-extension-boundary.v1.json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onsure-core</w:t>
      </w:r>
      <w:r>
        <w:t xml:space="preserve">와</w:t>
      </w:r>
      <w:r>
        <w:t xml:space="preserve"> </w:t>
      </w:r>
      <w:r>
        <w:rPr>
          <w:rStyle w:val="VerbatimChar"/>
        </w:rPr>
        <w:t xml:space="preserve">onsure-adapter-oruda</w:t>
      </w:r>
      <w:r>
        <w:t xml:space="preserve">를 Provided/Forbidden Import Prefix, Required Capability(GENERIC_TARGET_REGISTRATION, SOURCE_LOCK, FIXTURE_EXECUTION, EVIDENCE_PERSISTENCE, NONFINAL_DECISION, LEARNING_CANDIDATE_GOVERNANCE)로 구분한 실제 Component Contract다.</w:t>
      </w:r>
      <w:r>
        <w:t xml:space="preserve"> </w:t>
      </w:r>
      <w:r>
        <w:rPr>
          <w:rStyle w:val="VerbatimChar"/>
        </w:rPr>
        <w:t xml:space="preserve">onsure-adapter-oruda</w:t>
      </w:r>
      <w:r>
        <w:t xml:space="preserve">는</w:t>
      </w:r>
      <w:r>
        <w:t xml:space="preserve"> </w:t>
      </w:r>
      <w:r>
        <w:rPr>
          <w:rStyle w:val="VerbatimChar"/>
        </w:rPr>
        <w:t xml:space="preserve">required_for_core: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may_write_onsure_final_decision: false</w:t>
      </w:r>
      <w:r>
        <w:t xml:space="preserve">로 명시되어 Core가 ORUDA 없이도 동작해야 한다는</w:t>
      </w:r>
      <w:r>
        <w:t xml:space="preserve"> </w:t>
      </w:r>
      <w:hyperlink r:id="rId22">
        <w:r>
          <w:rPr>
            <w:rStyle w:val="Hyperlink"/>
          </w:rPr>
          <w:t xml:space="preserve">README.md</w:t>
        </w:r>
      </w:hyperlink>
      <w:r>
        <w:t xml:space="preserve">의</w:t>
      </w:r>
      <w:r>
        <w:t xml:space="preserve"> </w:t>
      </w:r>
      <w:r>
        <w:t xml:space="preserve">“</w:t>
      </w:r>
      <w:r>
        <w:t xml:space="preserve">Standalone first</w:t>
      </w:r>
      <w:r>
        <w:t xml:space="preserve">”</w:t>
      </w:r>
      <w:r>
        <w:t xml:space="preserve"> </w:t>
      </w:r>
      <w:r>
        <w:t xml:space="preserve">원칙을 계약으로 강제한다. 이 절 이하는</w:t>
      </w:r>
      <w:r>
        <w:t xml:space="preserve"> </w:t>
      </w:r>
      <w:r>
        <w:rPr>
          <w:bCs/>
          <w:b/>
        </w:rPr>
        <w:t xml:space="preserve">고객의 대상 프로그램</w:t>
      </w:r>
      <w:r>
        <w:t xml:space="preserve">에 같은 원칙을 적용하는 설계이며, 아직 이를 위한</w:t>
      </w:r>
      <w:r>
        <w:t xml:space="preserve"> </w:t>
      </w:r>
      <w:r>
        <w:rPr>
          <w:rStyle w:val="VerbatimChar"/>
        </w:rPr>
        <w:t xml:space="preserve">component-contract.v1.schema.json</w:t>
      </w:r>
      <w:r>
        <w:t xml:space="preserve"> </w:t>
      </w:r>
      <w:r>
        <w:t xml:space="preserve">계약은 없다(§2.3 참조).</w:t>
      </w:r>
    </w:p>
    <w:bookmarkStart w:id="24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4"/>
    <w:bookmarkStart w:id="26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6"/>
    <w:bookmarkStart w:id="27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7"/>
    <w:bookmarkStart w:id="28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8"/>
    <w:bookmarkEnd w:id="29"/>
    <w:bookmarkStart w:id="34" w:name="ai-agent-방법론"/>
    <w:p>
      <w:pPr>
        <w:pStyle w:val="Heading2"/>
      </w:pPr>
      <w:r>
        <w:t xml:space="preserve">3. AI Agent 방법론</w:t>
      </w:r>
    </w:p>
    <w:bookmarkStart w:id="31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3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p>
      <w:pPr>
        <w:pStyle w:val="BodyText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contracts/public-sdk-boundary.v1.json</w:t>
      </w:r>
      <w:r>
        <w:t xml:space="preserve">이 이미 이 원칙을 외부 SDK 경계에 적용한 사례다: 공개 SDK는 7개 Operation(project.register-workspace/register/register-target, program.learn, plan.generate/approve, validation.run)만 노출하고,</w:t>
      </w:r>
      <w:r>
        <w:t xml:space="preserve"> </w:t>
      </w:r>
      <w:r>
        <w:rPr>
          <w:rStyle w:val="VerbatimChar"/>
        </w:rPr>
        <w:t xml:space="preserve">FINAL_CLAIM_AUTHORITY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PRODUCTION_GO_AUTHORITY</w:t>
      </w:r>
      <w:r>
        <w:t xml:space="preserve">, Trusted Key Registry 경로, Approval Replay Ledger 경로를 공개 입력으로 받는 것 자체를 계약으로 금지한다(Raw JSON/Map Request도 금지, Typed Immutable Record만 허용). 위 표의 Agent 최소권한 설계는 이 경계를 Agent 역할 단위로 더 세분화한 것이며, Improver Agent가 Main/Push 권한이 없다는 것도 이 공개 SDK 경계와 같은 방향이다.</w:t>
      </w:r>
    </w:p>
    <w:bookmarkEnd w:id="31"/>
    <w:bookmarkStart w:id="32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2"/>
    <w:bookmarkStart w:id="33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3"/>
    <w:bookmarkEnd w:id="34"/>
    <w:bookmarkStart w:id="36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5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6"/>
    <w:bookmarkStart w:id="37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7"/>
    <w:bookmarkStart w:id="38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8"/>
    <w:bookmarkStart w:id="44" w:name="청중별-빠른-참조"/>
    <w:p>
      <w:pPr>
        <w:pStyle w:val="Heading2"/>
      </w:pPr>
      <w:r>
        <w:t xml:space="preserve">6. 청중별 빠른 참조</w:t>
      </w:r>
    </w:p>
    <w:bookmarkStart w:id="39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9"/>
    <w:bookmarkStart w:id="41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40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40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1"/>
    <w:bookmarkStart w:id="43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2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3"/>
    <w:bookmarkEnd w:id="44"/>
    <w:bookmarkStart w:id="45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../README.md" TargetMode="Externa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5" Target="01_BUSINESS_PRODUCT_SERVICE_PLAN.md" TargetMode="External" /><Relationship Type="http://schemas.openxmlformats.org/officeDocument/2006/relationships/hyperlink" Id="rId23" Target="02_FUNCTIONAL_REQUIREMENTS_AND_PROGRAMS.md" TargetMode="External" /><Relationship Type="http://schemas.openxmlformats.org/officeDocument/2006/relationships/hyperlink" Id="rId30" Target="03_OREVIEW_CODE_REVIEW_SPECIFICATION.md" TargetMode="External" /><Relationship Type="http://schemas.openxmlformats.org/officeDocument/2006/relationships/hyperlink" Id="rId25" Target="04_ARCHITECTURE_DATA_API_OLICENSE.md" TargetMode="External" /><Relationship Type="http://schemas.openxmlformats.org/officeDocument/2006/relationships/hyperlink" Id="rId40" Target="05_UI_UX_WORKFLOW_SPECIFICATION.md" TargetMode="External" /><Relationship Type="http://schemas.openxmlformats.org/officeDocument/2006/relationships/hyperlink" Id="rId42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README.md" TargetMode="Externa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5" Target="01_BUSINESS_PRODUCT_SERVICE_PLAN.md" TargetMode="External" /><Relationship Type="http://schemas.openxmlformats.org/officeDocument/2006/relationships/hyperlink" Id="rId23" Target="02_FUNCTIONAL_REQUIREMENTS_AND_PROGRAMS.md" TargetMode="External" /><Relationship Type="http://schemas.openxmlformats.org/officeDocument/2006/relationships/hyperlink" Id="rId30" Target="03_OREVIEW_CODE_REVIEW_SPECIFICATION.md" TargetMode="External" /><Relationship Type="http://schemas.openxmlformats.org/officeDocument/2006/relationships/hyperlink" Id="rId25" Target="04_ARCHITECTURE_DATA_API_OLICENSE.md" TargetMode="External" /><Relationship Type="http://schemas.openxmlformats.org/officeDocument/2006/relationships/hyperlink" Id="rId40" Target="05_UI_UX_WORKFLOW_SPECIFICATION.md" TargetMode="External" /><Relationship Type="http://schemas.openxmlformats.org/officeDocument/2006/relationships/hyperlink" Id="rId42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2026-08-08T01:37:00Z</dcterms:created>
  <dcterms:modified xsi:type="dcterms:W3CDTF">2026-08-08T01:37:00Z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