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ART CAMEROUN — MÉMOIRE DE STAGE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32"/>
        </w:rPr>
        <w:t>Thème reformulé du mémoire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Périmètre réalisable en 2 mois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Stagiaire : Grace Divine Tchuenteu Ebe'ete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Structure : Agence de Régulation des Télécommunications (ART) — Cameroun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Date de référence : 21/07/2026</w:t>
      </w:r>
    </w:p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Thème initial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Architecture sécurisée basée sur le « Zero Trust Fidelity » pour augmenter le taux de sécurité des IA agentiques.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Thème reformulé (recommandé)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Proposition d’une architecture Zero Trust pour le contrôle de fidélité des agents IA : cadre de sécurisation et prototype applicables aux processus métier de l’ART Cameroun.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Concepts clés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Définition opérationnelle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IA agentique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Système IA capable d’enchaîner des actions (outils, APIs, fichiers)</w:t>
            </w:r>
          </w:p>
        </w:tc>
      </w:tr>
      <w:tr>
        <w:tc>
          <w:tcPr>
            <w:tcW w:type="dxa" w:w="255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Zero Trust</w:t>
            </w:r>
          </w:p>
        </w:tc>
        <w:tc>
          <w:tcPr>
            <w:tcW w:type="dxa" w:w="708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Never trust, always verify : aucune confiance par défaut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Fidélité de l’agent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Actions autorisées, traçables et conformes à la mission</w:t>
            </w:r>
          </w:p>
        </w:tc>
      </w:tr>
      <w:tr>
        <w:tc>
          <w:tcPr>
            <w:tcW w:type="dxa" w:w="2551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Contrôle de fidélité</w:t>
            </w:r>
          </w:p>
        </w:tc>
        <w:tc>
          <w:tcPr>
            <w:tcW w:type="dxa" w:w="7087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Validation avant chaque action : identité, politique, audit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Périmètre IN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État de l’art ciblé (Zero Trust NIST, menaces agents IA)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Analyse d’un cas d’usage ART unique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Conception d’architecture Zero Trust (PEP/PDP, identité, audit)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Prototype PoC avec ≥ 3 scénarios d’attaque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Évaluation comparative simple + mémoire + soutenance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Périmètre OUT OF SCOPE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Déploiement en production sur le SI de l’ART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Entraînement d’un modèle de fondation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Certification réglementaire formelle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Couverture de tous les processus de l’Agence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Cas d’usage recommandé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Agent d’assistance à l’analyse documentaire réglementaire : lecture/résumé/classement de documents autorisés ; interdiction d’écrire hors périmètre, d’appeler des APIs non listées, d’exporter hors journal.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Critères de succès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Indicateur</w:t>
            </w:r>
          </w:p>
        </w:tc>
        <w:tc>
          <w:tcPr>
            <w:tcW w:type="dxa" w:w="6236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Cible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Architecture documentée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Diagrammes + composants Zero Trust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PoC exécutable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Démo ≤ 10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Politiques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5 règles d’autorisation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Scénarios de sécurité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3 attaques simulées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Traçabilité</w:t>
            </w:r>
          </w:p>
        </w:tc>
        <w:tc>
          <w:tcPr>
            <w:tcW w:type="dxa" w:w="623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100 % des actions d’outil journalisées</w:t>
            </w:r>
          </w:p>
        </w:tc>
      </w:tr>
      <w:tr>
        <w:tc>
          <w:tcPr>
            <w:tcW w:type="dxa" w:w="3402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Mémoire</w:t>
            </w:r>
          </w:p>
        </w:tc>
        <w:tc>
          <w:tcPr>
            <w:tcW w:type="dxa" w:w="6236"/>
            <w:shd w:fill="E8F1F8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Structure complète + bibliographie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