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3D5C"/>
          <w:sz w:val="24"/>
        </w:rPr>
        <w:t>ART CAMEROUN — MÉMOIRE DE STAGE</w:t>
      </w:r>
    </w:p>
    <w:p>
      <w:pPr>
        <w:jc w:val="center"/>
      </w:pPr>
      <w:r>
        <w:rPr>
          <w:rFonts w:ascii="Calibri" w:hAnsi="Calibri" w:eastAsia="Calibri"/>
          <w:b/>
          <w:color w:val="0B3D5C"/>
          <w:sz w:val="32"/>
        </w:rPr>
        <w:t>Structure détaillée du mémoire</w:t>
      </w:r>
    </w:p>
    <w:p>
      <w:pPr>
        <w:jc w:val="center"/>
      </w:pPr>
      <w:r>
        <w:rPr>
          <w:rFonts w:ascii="Calibri" w:hAnsi="Calibri" w:eastAsia="Calibri"/>
          <w:b w:val="0"/>
          <w:i/>
          <w:sz w:val="22"/>
        </w:rPr>
        <w:t>Canevas adapté Zero Trust / Agents IA / ART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Stagiaire : Grace Divine Tchuenteu Ebe'ete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Structure : Agence de Régulation des Télécommunications (ART) — Cameroun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Date de référence : 21/07/2026</w:t>
      </w:r>
    </w:p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Pages liminaires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Page de garde, attestation, remerciements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Résumé FR + Abstract EN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Listes des figures, tableaux, sigles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Table des matières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Introduction générale (4–6 p.)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Contexte digitalisation / IA / régulation télécoms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Problématique, objectifs, hypothèses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Intérêt pour l’ART, méthodologie, annonce du plan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Chapitre 1 — Cadre théorique et état de l’art (10–12 p.)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Agents IA : concepts et architectures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Menaces et vulnérabilités agentiques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Paradigme Zero Trust (NIST SP 800-207)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Fidélité des agents et gouvernance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Travaux connexes et positionnement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Chapitre 2 — ART et analyse du besoin (8–10 p.)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Présentation de l’ART et du service d’accueil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Cas d’usage retenu (as-is)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Analyse des risques liés à un agent IA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Contraintes organisationnelles, techniques, juridiques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Chapitre 3 — Conception architecture Zero Trust (10–12 p.)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Principes de conception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Architecture logique (Agent, PEP, PDP, Identity, Audit, LLM)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Modèle d’identité et de politiques de fidélité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Flux de contrôle d’une action (séquence)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Modèle de menaces et choix techniques du PoC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Chapitre 4 — Réalisation du prototype (8–10 p.)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Environnement, composants, politiques, interfaces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Difficultés rencontrées et solutions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Chapitre 5 — Tests, résultats et discussion (6–8 p.)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Protocole de test et scénarios (≥ 3)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Résultats, interprétation, limites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Conclusion générale et perspectives (3–4 p.)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Apports, limites, perspectives ART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Bibliographie &amp; annexes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NIST SP 800-207, NIST AI RMF, OWASP LLM Top 10, ISO 27001…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Annexes : CDC, diagrammes, politiques, guide PoC, fiches points d’étape, note ART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Volume indicatif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669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Partie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Pages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Introduction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</w:tr>
      <w:tr>
        <w:tc>
          <w:tcPr>
            <w:tcW w:type="dxa" w:w="5669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Chapitre 1</w:t>
            </w:r>
          </w:p>
        </w:tc>
        <w:tc>
          <w:tcPr>
            <w:tcW w:type="dxa" w:w="2268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11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Chapitre 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</w:t>
            </w:r>
          </w:p>
        </w:tc>
      </w:tr>
      <w:tr>
        <w:tc>
          <w:tcPr>
            <w:tcW w:type="dxa" w:w="5669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Chapitre 3</w:t>
            </w:r>
          </w:p>
        </w:tc>
        <w:tc>
          <w:tcPr>
            <w:tcW w:type="dxa" w:w="2268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11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Chapitre 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</w:t>
            </w:r>
          </w:p>
        </w:tc>
      </w:tr>
      <w:tr>
        <w:tc>
          <w:tcPr>
            <w:tcW w:type="dxa" w:w="5669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Chapitre 5</w:t>
            </w:r>
          </w:p>
        </w:tc>
        <w:tc>
          <w:tcPr>
            <w:tcW w:type="dxa" w:w="2268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Conclusion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</w:tr>
      <w:tr>
        <w:tc>
          <w:tcPr>
            <w:tcW w:type="dxa" w:w="5669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Total corps</w:t>
            </w:r>
          </w:p>
        </w:tc>
        <w:tc>
          <w:tcPr>
            <w:tcW w:type="dxa" w:w="2268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~55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