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ООО "САУКА БАЙ"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ООО "САУКА БАЙ"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1383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369/24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15.03.2024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