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6E184F">
        <w:rPr>
          <w:rFonts w:ascii="Arial" w:hAnsi="Arial" w:cs="Arial"/>
          <w:b/>
        </w:rPr>
        <w:fldChar w:fldCharType="begin"/>
      </w:r>
      <w:r w:rsidR="006E184F">
        <w:rPr>
          <w:rFonts w:ascii="Arial" w:hAnsi="Arial" w:cs="Arial"/>
          <w:b/>
        </w:rPr>
        <w:instrText xml:space="preserve"> MERGEFIELD  "Номер договора"  \* MERGEFORMAT </w:instrText>
      </w:r>
      <w:r w:rsidR="006E184F">
        <w:rPr>
          <w:rFonts w:ascii="Arial" w:hAnsi="Arial" w:cs="Arial"/>
          <w:b/>
        </w:rPr>
        <w:fldChar w:fldCharType="separate"/>
      </w:r>
      <w:r w:rsidR="006E184F">
        <w:rPr>
          <w:rFonts w:ascii="Arial" w:hAnsi="Arial" w:cs="Arial"/>
          <w:b/>
          <w:noProof/>
        </w:rPr>
        <w:t>1834</w:t>
      </w:r>
      <w:r w:rsidR="006E184F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5F5255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г. Минск </w:t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Pr="005F5255">
        <w:rPr>
          <w:rFonts w:ascii="Arial" w:hAnsi="Arial" w:cs="Arial"/>
        </w:rPr>
        <w:tab/>
      </w:r>
      <w:r w:rsidR="006E184F">
        <w:rPr>
          <w:rFonts w:ascii="Arial" w:hAnsi="Arial" w:cs="Arial"/>
        </w:rPr>
        <w:fldChar w:fldCharType="begin"/>
      </w:r>
      <w:r w:rsidR="006E184F">
        <w:rPr>
          <w:rFonts w:ascii="Arial" w:hAnsi="Arial" w:cs="Arial"/>
        </w:rPr>
        <w:instrText xml:space="preserve"> MERGEFIELD  "Дата договора"  \* MERGEFORMAT </w:instrText>
      </w:r>
      <w:r w:rsidR="006E184F">
        <w:rPr>
          <w:rFonts w:ascii="Arial" w:hAnsi="Arial" w:cs="Arial"/>
        </w:rPr>
        <w:fldChar w:fldCharType="separate"/>
      </w:r>
      <w:r w:rsidR="006E184F">
        <w:rPr>
          <w:rFonts w:ascii="Arial" w:hAnsi="Arial" w:cs="Arial"/>
          <w:noProof/>
        </w:rPr>
        <w:t>пятница, 9 декабря 2022 г.</w:t>
      </w:r>
      <w:r w:rsidR="006E184F">
        <w:rPr>
          <w:rFonts w:ascii="Arial" w:hAnsi="Arial" w:cs="Arial"/>
        </w:rPr>
        <w:fldChar w:fldCharType="end"/>
      </w:r>
      <w:proofErr w:type="gramStart"/>
      <w:r w:rsidR="006E184F">
        <w:rPr>
          <w:rFonts w:ascii="Arial" w:hAnsi="Arial" w:cs="Arial"/>
        </w:rPr>
        <w:t>г</w:t>
      </w:r>
      <w:proofErr w:type="gramEnd"/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proofErr w:type="gramStart"/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6E184F">
        <w:rPr>
          <w:rFonts w:ascii="Arial" w:hAnsi="Arial" w:cs="Arial"/>
        </w:rPr>
        <w:fldChar w:fldCharType="begin"/>
      </w:r>
      <w:r w:rsidR="006E184F">
        <w:rPr>
          <w:rFonts w:ascii="Arial" w:hAnsi="Arial" w:cs="Arial"/>
        </w:rPr>
        <w:instrText xml:space="preserve"> MERGEFIELD  "В лице(наша организация)"  \* MERGEFORMAT </w:instrText>
      </w:r>
      <w:r w:rsidR="006E184F">
        <w:rPr>
          <w:rFonts w:ascii="Arial" w:hAnsi="Arial" w:cs="Arial"/>
        </w:rPr>
        <w:fldChar w:fldCharType="separate"/>
      </w:r>
      <w:r w:rsidR="006E184F">
        <w:rPr>
          <w:rFonts w:ascii="Arial" w:hAnsi="Arial" w:cs="Arial"/>
          <w:noProof/>
        </w:rPr>
        <w:t>«В лице(наша организация)»</w:t>
      </w:r>
      <w:r w:rsidR="006E184F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6E184F">
        <w:rPr>
          <w:rFonts w:ascii="Arial" w:hAnsi="Arial" w:cs="Arial"/>
        </w:rPr>
        <w:fldChar w:fldCharType="begin"/>
      </w:r>
      <w:r w:rsidR="006E184F">
        <w:rPr>
          <w:rFonts w:ascii="Arial" w:hAnsi="Arial" w:cs="Arial"/>
        </w:rPr>
        <w:instrText xml:space="preserve"> MERGEFIELD  "Ответственное лицо нашей организации"  \* MERGEFORMAT </w:instrText>
      </w:r>
      <w:r w:rsidR="006E184F">
        <w:rPr>
          <w:rFonts w:ascii="Arial" w:hAnsi="Arial" w:cs="Arial"/>
        </w:rPr>
        <w:fldChar w:fldCharType="separate"/>
      </w:r>
      <w:r w:rsidR="006E184F">
        <w:rPr>
          <w:rFonts w:ascii="Arial" w:hAnsi="Arial" w:cs="Arial"/>
          <w:noProof/>
        </w:rPr>
        <w:t>Абрамовича Александра Ивановича</w:t>
      </w:r>
      <w:r w:rsidR="006E184F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действующего на основании Устава</w:t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1D3F52">
        <w:rPr>
          <w:rFonts w:ascii="Arial" w:hAnsi="Arial" w:cs="Arial"/>
        </w:rPr>
        <w:fldChar w:fldCharType="begin"/>
      </w:r>
      <w:r w:rsidR="001D3F52">
        <w:rPr>
          <w:rFonts w:ascii="Arial" w:hAnsi="Arial" w:cs="Arial"/>
        </w:rPr>
        <w:instrText xml:space="preserve"> MERGEFIELD  Наименование  \* MERGEFORMAT </w:instrText>
      </w:r>
      <w:r w:rsidR="001D3F52">
        <w:rPr>
          <w:rFonts w:ascii="Arial" w:hAnsi="Arial" w:cs="Arial"/>
        </w:rPr>
        <w:fldChar w:fldCharType="separate"/>
      </w:r>
      <w:r w:rsidR="001D3F52">
        <w:rPr>
          <w:rFonts w:ascii="Arial" w:hAnsi="Arial" w:cs="Arial"/>
          <w:noProof/>
        </w:rPr>
        <w:t>УП Мингаз</w:t>
      </w:r>
      <w:r w:rsidR="001D3F52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именуемое в дальнейшем «Покупатель», в лице  </w:t>
      </w:r>
      <w:r w:rsidR="001D3F52">
        <w:rPr>
          <w:rFonts w:ascii="Arial" w:hAnsi="Arial" w:cs="Arial"/>
        </w:rPr>
        <w:fldChar w:fldCharType="begin"/>
      </w:r>
      <w:r w:rsidR="001D3F52">
        <w:rPr>
          <w:rFonts w:ascii="Arial" w:hAnsi="Arial" w:cs="Arial"/>
        </w:rPr>
        <w:instrText xml:space="preserve"> MERGEFIELD  "В лице(сторона заказчика)"  \* MERGEFORMAT </w:instrText>
      </w:r>
      <w:r w:rsidR="001D3F52">
        <w:rPr>
          <w:rFonts w:ascii="Arial" w:hAnsi="Arial" w:cs="Arial"/>
        </w:rPr>
        <w:fldChar w:fldCharType="separate"/>
      </w:r>
      <w:r w:rsidR="001D3F52">
        <w:rPr>
          <w:rFonts w:ascii="Arial" w:hAnsi="Arial" w:cs="Arial"/>
          <w:noProof/>
        </w:rPr>
        <w:t>«В лице(сторона заказчика)»</w:t>
      </w:r>
      <w:r w:rsidR="001D3F52">
        <w:rPr>
          <w:rFonts w:ascii="Arial" w:hAnsi="Arial" w:cs="Arial"/>
        </w:rPr>
        <w:fldChar w:fldCharType="end"/>
      </w:r>
      <w:r w:rsidR="001D3F52">
        <w:rPr>
          <w:rFonts w:ascii="Arial" w:hAnsi="Arial" w:cs="Arial"/>
        </w:rPr>
        <w:t xml:space="preserve"> </w:t>
      </w:r>
      <w:r w:rsidR="001D3F52">
        <w:rPr>
          <w:rFonts w:ascii="Arial" w:hAnsi="Arial" w:cs="Arial"/>
        </w:rPr>
        <w:fldChar w:fldCharType="begin"/>
      </w:r>
      <w:r w:rsidR="001D3F52">
        <w:rPr>
          <w:rFonts w:ascii="Arial" w:hAnsi="Arial" w:cs="Arial"/>
        </w:rPr>
        <w:instrText xml:space="preserve"> MERGEFIELD  "Ответственное лицо стороны заказчика(Р.П.)"  \* MERGEFORMAT </w:instrText>
      </w:r>
      <w:r w:rsidR="001D3F52">
        <w:rPr>
          <w:rFonts w:ascii="Arial" w:hAnsi="Arial" w:cs="Arial"/>
        </w:rPr>
        <w:fldChar w:fldCharType="separate"/>
      </w:r>
      <w:r w:rsidR="001D3F52">
        <w:rPr>
          <w:rFonts w:ascii="Arial" w:hAnsi="Arial" w:cs="Arial"/>
          <w:noProof/>
        </w:rPr>
        <w:t>«Ответственное лицо стороны заказчика(Р.П.)»</w:t>
      </w:r>
      <w:r w:rsidR="001D3F52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  <w:proofErr w:type="gramEnd"/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</w:t>
      </w:r>
      <w:bookmarkStart w:id="0" w:name="_GoBack"/>
      <w:bookmarkEnd w:id="0"/>
      <w:r w:rsidR="00AF69DB" w:rsidRPr="00B44D36">
        <w:rPr>
          <w:rFonts w:ascii="Arial" w:hAnsi="Arial" w:cs="Arial"/>
        </w:rPr>
        <w:t xml:space="preserve">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B20F42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 обеими сторонами и действует до</w:t>
      </w:r>
      <w:proofErr w:type="gramStart"/>
      <w:r w:rsidR="001D3F52">
        <w:rPr>
          <w:rFonts w:ascii="Arial" w:hAnsi="Arial"/>
        </w:rPr>
        <w:t xml:space="preserve"> </w:t>
      </w:r>
      <w:proofErr w:type="gramEnd"/>
      <w:r w:rsidR="001D3F52">
        <w:rPr>
          <w:rFonts w:ascii="Arial" w:hAnsi="Arial"/>
        </w:rPr>
        <w:fldChar w:fldCharType="begin"/>
      </w:r>
      <w:r w:rsidR="001D3F52">
        <w:rPr>
          <w:rFonts w:ascii="Arial" w:hAnsi="Arial"/>
        </w:rPr>
        <w:instrText xml:space="preserve"> MERGEFIELD  "Конец действия договора"  \* MERGEFORMAT </w:instrText>
      </w:r>
      <w:r w:rsidR="001D3F52">
        <w:rPr>
          <w:rFonts w:ascii="Arial" w:hAnsi="Arial"/>
        </w:rPr>
        <w:fldChar w:fldCharType="separate"/>
      </w:r>
      <w:r w:rsidR="001D3F52">
        <w:rPr>
          <w:rFonts w:ascii="Arial" w:hAnsi="Arial"/>
          <w:noProof/>
        </w:rPr>
        <w:t>суббота, 9 декабря 2023 г.</w:t>
      </w:r>
      <w:r w:rsidR="001D3F52">
        <w:rPr>
          <w:rFonts w:ascii="Arial" w:hAnsi="Arial"/>
        </w:rPr>
        <w:fldChar w:fldCharType="end"/>
      </w:r>
      <w:proofErr w:type="gramStart"/>
      <w:r w:rsidRPr="00B20F42">
        <w:rPr>
          <w:rFonts w:ascii="Arial" w:hAnsi="Arial"/>
        </w:rPr>
        <w:t>.</w:t>
      </w:r>
      <w:proofErr w:type="gramEnd"/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43225A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2C626" wp14:editId="45A89A03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Наименование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УП Мингаз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Адрес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220037, г. Минск, ул. Ботаническая, 11/1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"Расчетный счет"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BY17AKBB30121087600145300000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Банк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"Адрес банка"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BIC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УНП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100308563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ОКПО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03000992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1D3F52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instrText xml:space="preserve"> MERGEFIELD  Телефоны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480348" w:rsidRDefault="006A776D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480348" w:rsidRPr="00480348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1D3F52" w:rsidRPr="001D3F52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D54135" w:rsidRPr="00486ECD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1D3F52">
                              <w:rPr>
                                <w:rFonts w:ascii="Arial" w:hAnsi="Arial" w:cs="Arial"/>
                                <w:color w:val="000000"/>
                              </w:rPr>
                              <w:t>___________</w:t>
                            </w:r>
                            <w:r w:rsidR="001D3F52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1D3F52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"Ответственное лицо стороны заказчика(И.П.)"  \* MERGEFORMAT </w:instrText>
                            </w:r>
                            <w:r w:rsidR="001D3F52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1D3F52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«Ответственное лицо стороны заказчика(И.П»</w:t>
                            </w:r>
                            <w:r w:rsidR="001D3F52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Default="001D3F52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Наименование  \* MERGEFORMAT </w:instrTex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УП Мингаз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Адрес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220037, г. Минск, ул. Ботаническая, 11/1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"Расчетный счет"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BY17AKBB30121087600145300000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Банк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"Адрес банка"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BIC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УНП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100308563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ОКПО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03000992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1D3F52" w:rsidRDefault="006A776D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</w:rPr>
                        <w:instrText xml:space="preserve"> MERGEFIELD  Телефоны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480348" w:rsidRDefault="006A776D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480348" w:rsidRPr="00480348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Default="00480348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1D3F52" w:rsidRPr="001D3F52" w:rsidRDefault="001D3F52" w:rsidP="0048034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D54135" w:rsidRPr="00486ECD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1D3F52">
                        <w:rPr>
                          <w:rFonts w:ascii="Arial" w:hAnsi="Arial" w:cs="Arial"/>
                          <w:color w:val="000000"/>
                        </w:rPr>
                        <w:t>___________</w:t>
                      </w:r>
                      <w:r w:rsidR="001D3F52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1D3F52">
                        <w:rPr>
                          <w:rFonts w:ascii="Arial" w:hAnsi="Arial" w:cs="Arial"/>
                          <w:color w:val="000000"/>
                        </w:rPr>
                        <w:instrText xml:space="preserve"> MERGEFIELD  "Ответственное лицо стороны заказчика(И.П.)"  \* MERGEFORMAT </w:instrText>
                      </w:r>
                      <w:r w:rsidR="001D3F52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1D3F52">
                        <w:rPr>
                          <w:rFonts w:ascii="Arial" w:hAnsi="Arial" w:cs="Arial"/>
                          <w:noProof/>
                          <w:color w:val="000000"/>
                        </w:rPr>
                        <w:t>«Ответственное лицо стороны заказчика(И.П»</w:t>
                      </w:r>
                      <w:r w:rsidR="001D3F52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тел. </w:t>
      </w:r>
      <w:r>
        <w:rPr>
          <w:rFonts w:ascii="Arial" w:hAnsi="Arial" w:cs="Arial"/>
          <w:color w:val="000000"/>
        </w:rPr>
        <w:t xml:space="preserve">(017) </w:t>
      </w:r>
      <w:r w:rsidRPr="00C24CA0">
        <w:rPr>
          <w:rFonts w:ascii="Arial" w:hAnsi="Arial" w:cs="Arial"/>
          <w:color w:val="000000"/>
        </w:rPr>
        <w:t>280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12, факс 280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09</w:t>
      </w:r>
      <w:r>
        <w:rPr>
          <w:rFonts w:ascii="Arial" w:hAnsi="Arial" w:cs="Arial"/>
          <w:color w:val="000000"/>
        </w:rPr>
        <w:t>-</w:t>
      </w:r>
      <w:r w:rsidRPr="00C24CA0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A12979" w:rsidRDefault="00F27C6F" w:rsidP="00F27C6F">
      <w:pPr>
        <w:widowControl/>
        <w:rPr>
          <w:rFonts w:ascii="Arial" w:hAnsi="Arial" w:cs="Arial"/>
        </w:rPr>
      </w:pPr>
      <w:r>
        <w:rPr>
          <w:rFonts w:ascii="Arial" w:hAnsi="Arial" w:cs="Arial"/>
          <w:lang w:val="en-US"/>
        </w:rPr>
        <w:t>E</w:t>
      </w:r>
      <w:r w:rsidRPr="00FD7F4F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FD7F4F">
        <w:rPr>
          <w:rFonts w:ascii="Arial" w:hAnsi="Arial" w:cs="Arial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4A41C2">
          <w:rPr>
            <w:rStyle w:val="a4"/>
            <w:rFonts w:ascii="Arial" w:hAnsi="Arial" w:cs="Arial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4A41C2">
          <w:rPr>
            <w:rStyle w:val="a4"/>
            <w:rFonts w:ascii="Arial" w:hAnsi="Arial" w:cs="Arial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F27C6F" w:rsidRDefault="00F27C6F" w:rsidP="00F27C6F">
      <w:pPr>
        <w:widowControl/>
        <w:rPr>
          <w:rFonts w:ascii="Arial" w:hAnsi="Arial" w:cs="Arial"/>
          <w:color w:val="000000"/>
        </w:rPr>
      </w:pPr>
    </w:p>
    <w:p w:rsidR="00403F23" w:rsidRPr="00AA1630" w:rsidRDefault="00CE00A7" w:rsidP="00CE00A7">
      <w:pPr>
        <w:widowControl/>
      </w:pPr>
      <w:r w:rsidRPr="00AA1630">
        <w:rPr>
          <w:rFonts w:ascii="Arial" w:hAnsi="Arial" w:cs="Arial"/>
          <w:color w:val="000000"/>
        </w:rPr>
        <w:t xml:space="preserve">_________________________ </w:t>
      </w:r>
      <w:r w:rsidR="001D3F52">
        <w:rPr>
          <w:rFonts w:ascii="Arial" w:hAnsi="Arial" w:cs="Arial"/>
          <w:color w:val="000000"/>
        </w:rPr>
        <w:fldChar w:fldCharType="begin"/>
      </w:r>
      <w:r w:rsidR="001D3F52">
        <w:rPr>
          <w:rFonts w:ascii="Arial" w:hAnsi="Arial" w:cs="Arial"/>
          <w:color w:val="000000"/>
        </w:rPr>
        <w:instrText xml:space="preserve"> MERGEFIELD  "Ответственное лицо с нашей стороны(И.П.)"  \* MERGEFORMAT </w:instrText>
      </w:r>
      <w:r w:rsidR="001D3F52">
        <w:rPr>
          <w:rFonts w:ascii="Arial" w:hAnsi="Arial" w:cs="Arial"/>
          <w:color w:val="000000"/>
        </w:rPr>
        <w:fldChar w:fldCharType="separate"/>
      </w:r>
      <w:r w:rsidR="001D3F52">
        <w:rPr>
          <w:rFonts w:ascii="Arial" w:hAnsi="Arial" w:cs="Arial"/>
          <w:noProof/>
          <w:color w:val="000000"/>
        </w:rPr>
        <w:t>«Ответственное лицо с нашей стороны(И.П.)»</w:t>
      </w:r>
      <w:r w:rsidR="001D3F52">
        <w:rPr>
          <w:rFonts w:ascii="Arial" w:hAnsi="Arial" w:cs="Arial"/>
          <w:color w:val="000000"/>
        </w:rPr>
        <w:fldChar w:fldCharType="end"/>
      </w:r>
    </w:p>
    <w:p w:rsidR="007406B1" w:rsidRPr="00AA1630" w:rsidRDefault="007406B1" w:rsidP="00CE00A7">
      <w:pPr>
        <w:jc w:val="right"/>
      </w:pPr>
    </w:p>
    <w:p w:rsidR="00CE00A7" w:rsidRPr="00636F43" w:rsidRDefault="00CE00A7">
      <w:pPr>
        <w:jc w:val="right"/>
        <w:rPr>
          <w:lang w:val="en-US"/>
        </w:rPr>
      </w:pPr>
    </w:p>
    <w:sectPr w:rsidR="00CE00A7" w:rsidRPr="00636F43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7CF6"/>
    <w:rsid w:val="0033706A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636F43"/>
    <w:rsid w:val="00645585"/>
    <w:rsid w:val="006A09DE"/>
    <w:rsid w:val="006A776D"/>
    <w:rsid w:val="006B7BD6"/>
    <w:rsid w:val="006E184F"/>
    <w:rsid w:val="007406B1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2CA"/>
    <w:rsid w:val="00B64CAF"/>
    <w:rsid w:val="00B71440"/>
    <w:rsid w:val="00BA1E00"/>
    <w:rsid w:val="00BC18EE"/>
    <w:rsid w:val="00BC1BD4"/>
    <w:rsid w:val="00BF4993"/>
    <w:rsid w:val="00C42F3D"/>
    <w:rsid w:val="00C627E3"/>
    <w:rsid w:val="00C7282D"/>
    <w:rsid w:val="00C73990"/>
    <w:rsid w:val="00C90C78"/>
    <w:rsid w:val="00CE00A7"/>
    <w:rsid w:val="00D41A0D"/>
    <w:rsid w:val="00D54135"/>
    <w:rsid w:val="00D81E87"/>
    <w:rsid w:val="00D94748"/>
    <w:rsid w:val="00DA750E"/>
    <w:rsid w:val="00DA7C62"/>
    <w:rsid w:val="00E100B6"/>
    <w:rsid w:val="00E10DFC"/>
    <w:rsid w:val="00F0041A"/>
    <w:rsid w:val="00F27C6F"/>
    <w:rsid w:val="00F82337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B9013-D365-4F79-B415-CFD3F6F6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3</cp:revision>
  <cp:lastPrinted>2022-11-17T10:37:00Z</cp:lastPrinted>
  <dcterms:created xsi:type="dcterms:W3CDTF">2022-11-24T09:16:00Z</dcterms:created>
  <dcterms:modified xsi:type="dcterms:W3CDTF">2022-12-09T07:46:00Z</dcterms:modified>
</cp:coreProperties>
</file>