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text" w:horzAnchor="page" w:tblpX="1792" w:tblpY="594"/>
        <w:tblOverlap w:val="never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788"/>
        <w:gridCol w:w="907"/>
        <w:gridCol w:w="1251"/>
        <w:gridCol w:w="300"/>
        <w:gridCol w:w="650"/>
        <w:gridCol w:w="450"/>
      </w:tblGrid>
      <w:tr w14:paraId="640F0474">
        <w:tc>
          <w:tcPr>
            <w:tcW w:w="1176" w:type="dxa"/>
            <w:vAlign w:val="center"/>
          </w:tcPr>
          <w:p w14:paraId="14A855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</w:pPr>
            <w:bookmarkStart w:id="0" w:name="_GoBack"/>
            <w:bookmarkEnd w:id="0"/>
            <w:r>
              <w:rPr>
                <w:rFonts w:hint="eastAsia"/>
              </w:rPr>
              <w:t>课  题</w:t>
            </w:r>
          </w:p>
        </w:tc>
        <w:tc>
          <w:tcPr>
            <w:tcW w:w="3788" w:type="dxa"/>
          </w:tcPr>
          <w:p>
            <w:pPr>
              <w:spacing w:line="336" w:lineRule="auto" w:before="0" w:after="0"/>
              <w:jc w:val="left"/>
              <w:ind w:firstLine="0" w:firstLineChars="0"/>
            </w:pPr>
            <w:r>
              <w:rPr>
                <w:rFonts w:ascii="宋体" w:hAnsi="宋体" w:eastAsia="宋体" w:cs="宋体" w:hint="eastAsia"/>
                <w:sz w:val="21"/>
                <w:szCs w:val="21"/>
              </w:rPr>
              <w:t xml:space="preserve">综合与实践 制定“阅读之星”评选方案</w:t>
            </w:r>
          </w:p>
        </w:tc>
        <w:tc>
          <w:tcPr>
            <w:tcW w:w="907" w:type="dxa"/>
          </w:tcPr>
          <w:p w14:paraId="7BADD1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</w:pPr>
            <w:r>
              <w:rPr>
                <w:rFonts w:hint="eastAsia"/>
              </w:rPr>
              <w:t>课型</w:t>
            </w:r>
          </w:p>
        </w:tc>
        <w:tc>
          <w:tcPr>
            <w:tcW w:w="1551" w:type="dxa"/>
            <w:gridSpan w:val="2"/>
          </w:tcPr>
          <w:p>
            <w:pPr>
              <w:spacing w:line="336" w:lineRule="auto" w:before="0" w:after="0"/>
              <w:jc w:val="left"/>
              <w:ind w:firstLine="0" w:firstLineChars="0"/>
            </w:pPr>
            <w:r>
              <w:rPr>
                <w:rFonts w:ascii="宋体" w:hAnsi="宋体" w:eastAsia="宋体" w:cs="宋体" w:hint="eastAsia"/>
                <w:sz w:val="21"/>
                <w:szCs w:val="21"/>
              </w:rPr>
              <w:t xml:space="preserve">新授</w:t>
            </w:r>
          </w:p>
        </w:tc>
        <w:tc>
          <w:tcPr>
            <w:tcW w:w="650" w:type="dxa"/>
          </w:tcPr>
          <w:p w14:paraId="24557C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</w:pPr>
            <w:r>
              <w:rPr>
                <w:rFonts w:hint="eastAsia"/>
              </w:rPr>
              <w:t>课时</w:t>
            </w:r>
          </w:p>
        </w:tc>
        <w:tc>
          <w:tcPr>
            <w:tcW w:w="450" w:type="dxa"/>
          </w:tcPr>
          <w:p>
            <w:pPr>
              <w:spacing w:line="336" w:lineRule="auto" w:before="0" w:after="0"/>
              <w:jc w:val="left"/>
              <w:ind w:firstLine="0" w:firstLineChars="0"/>
            </w:pPr>
            <w:r>
              <w:rPr>
                <w:rFonts w:ascii="宋体" w:hAnsi="宋体" w:eastAsia="宋体" w:cs="宋体" w:hint="eastAsia"/>
                <w:sz w:val="21"/>
                <w:szCs w:val="21"/>
              </w:rPr>
              <w:t xml:space="preserve">1</w:t>
            </w:r>
          </w:p>
        </w:tc>
      </w:tr>
      <w:tr w14:paraId="34967F34">
        <w:tc>
          <w:tcPr>
            <w:tcW w:w="1176" w:type="dxa"/>
            <w:vMerge w:val="restart"/>
            <w:vAlign w:val="center"/>
          </w:tcPr>
          <w:p w14:paraId="42C162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</w:pPr>
            <w:r>
              <w:rPr>
                <w:rFonts w:hint="eastAsia"/>
              </w:rPr>
              <w:t>教</w:t>
            </w:r>
          </w:p>
          <w:p w14:paraId="200E2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</w:pPr>
            <w:r>
              <w:rPr>
                <w:rFonts w:hint="eastAsia"/>
              </w:rPr>
              <w:t>学</w:t>
            </w:r>
          </w:p>
          <w:p w14:paraId="7A4292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</w:pPr>
            <w:r>
              <w:rPr>
                <w:rFonts w:hint="eastAsia"/>
              </w:rPr>
              <w:t>目</w:t>
            </w:r>
          </w:p>
          <w:p w14:paraId="7BF0CD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</w:pPr>
            <w:r>
              <w:rPr>
                <w:rFonts w:hint="eastAsia"/>
              </w:rPr>
              <w:t>标</w:t>
            </w:r>
          </w:p>
        </w:tc>
        <w:tc>
          <w:tcPr>
            <w:tcW w:w="7346" w:type="dxa"/>
            <w:gridSpan w:val="6"/>
          </w:tcPr>
          <w:p>
            <w:pPr>
              <w:spacing w:line="336" w:lineRule="auto" w:before="0" w:after="0"/>
              <w:jc w:val="left"/>
              <w:ind w:firstLine="0" w:firstLineChars="0"/>
            </w:pPr>
            <w:r>
              <w:rPr>
                <w:rFonts w:ascii="宋体" w:hAnsi="宋体" w:eastAsia="宋体" w:cs="宋体" w:hint="eastAsia"/>
                <w:sz w:val="21"/>
                <w:szCs w:val="21"/>
              </w:rPr>
              <w:t xml:space="preserve">1.选择合适的评选指标，将所选取的指标进行量化，并根据量化后指标之间的联系生成数量模 型，依据排序结果选出“阅读之星”；</w:t>
            </w:r>
          </w:p>
        </w:tc>
      </w:tr>
      <w:tr w14:paraId="373EA114">
        <w:tc>
          <w:tcPr>
            <w:tcW w:w="1176" w:type="dxa"/>
            <w:vMerge w:val="continue"/>
            <w:vAlign w:val="center"/>
          </w:tcPr>
          <w:p w14:paraId="79046C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</w:pPr>
          </w:p>
        </w:tc>
        <w:tc>
          <w:tcPr>
            <w:tcW w:w="7346" w:type="dxa"/>
            <w:gridSpan w:val="6"/>
          </w:tcPr>
          <w:p>
            <w:pPr>
              <w:spacing w:line="336" w:lineRule="auto" w:before="0" w:after="0"/>
              <w:jc w:val="left"/>
              <w:ind w:firstLine="0" w:firstLineChars="0"/>
            </w:pPr>
            <w:r>
              <w:rPr>
                <w:rFonts w:ascii="宋体" w:hAnsi="宋体" w:eastAsia="宋体" w:cs="宋体" w:hint="eastAsia"/>
                <w:sz w:val="21"/>
                <w:szCs w:val="21"/>
              </w:rPr>
              <w:t xml:space="preserve">2.经历如何利用数学工具开发评价阅读水平方案的过程，会用数学的思维思考，并能用数学 的语言解释评选方案，发展数学的应用意识；</w:t>
            </w:r>
          </w:p>
        </w:tc>
      </w:tr>
      <w:tr w14:paraId="42FECB15">
        <w:tc>
          <w:tcPr>
            <w:tcW w:w="1176" w:type="dxa"/>
            <w:vMerge w:val="continue"/>
            <w:vAlign w:val="center"/>
          </w:tcPr>
          <w:p w14:paraId="41D9F5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</w:pPr>
          </w:p>
        </w:tc>
        <w:tc>
          <w:tcPr>
            <w:tcW w:w="7346" w:type="dxa"/>
            <w:gridSpan w:val="6"/>
          </w:tcPr>
          <w:p>
            <w:pPr>
              <w:spacing w:line="336" w:lineRule="auto" w:before="0" w:after="0"/>
              <w:jc w:val="left"/>
              <w:ind w:firstLine="0" w:firstLineChars="0"/>
            </w:pPr>
            <w:r>
              <w:rPr>
                <w:rFonts w:ascii="宋体" w:hAnsi="宋体" w:eastAsia="宋体" w:cs="宋体" w:hint="eastAsia"/>
                <w:sz w:val="21"/>
                <w:szCs w:val="21"/>
              </w:rPr>
              <w:t xml:space="preserve">3.在探究制定“阅读之星”评选方案的过程中，发现和提出问题，经历设计、完成研究报告并进 行交流、分享学习成果的过程，初步形成独立思考、反思质疑、合作交流的学习品质，发展 创新意识.</w:t>
            </w:r>
          </w:p>
        </w:tc>
      </w:tr>
      <w:tr w14:paraId="5630E750">
        <w:tc>
          <w:tcPr>
            <w:tcW w:w="1176" w:type="dxa"/>
            <w:vMerge w:val="restart"/>
            <w:vAlign w:val="center"/>
          </w:tcPr>
          <w:p w14:paraId="7268CE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</w:pPr>
            <w:r>
              <w:rPr>
                <w:rFonts w:hint="eastAsia"/>
              </w:rPr>
              <w:t>重  点</w:t>
            </w:r>
          </w:p>
          <w:p w14:paraId="587336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</w:pPr>
            <w:r>
              <w:rPr>
                <w:rFonts w:hint="eastAsia"/>
              </w:rPr>
              <w:t>难  点</w:t>
            </w:r>
          </w:p>
        </w:tc>
        <w:tc>
          <w:tcPr>
            <w:tcW w:w="7346" w:type="dxa"/>
            <w:gridSpan w:val="6"/>
          </w:tcPr>
          <w:p>
            <w:pPr>
              <w:spacing w:line="336" w:lineRule="auto" w:before="0" w:after="0"/>
              <w:jc w:val="left"/>
              <w:ind w:firstLine="0" w:firstLineChars="0"/>
            </w:pPr>
            <w:r>
              <w:rPr>
                <w:rFonts w:ascii="宋体" w:hAnsi="宋体" w:eastAsia="宋体" w:cs="宋体" w:hint="eastAsia"/>
                <w:sz w:val="21"/>
                <w:szCs w:val="21"/>
              </w:rPr>
              <w:t xml:space="preserve">选择合适的评选指标，将所选取的指标进行量化，并根据量化后指标之间的联系生成数量模 型，依据排序结果选出“阅读之星”；</w:t>
            </w:r>
          </w:p>
        </w:tc>
      </w:tr>
      <w:tr w14:paraId="5FA2D1F2">
        <w:tc>
          <w:tcPr>
            <w:tcW w:w="1176" w:type="dxa"/>
            <w:vMerge w:val="continue"/>
            <w:vAlign w:val="center"/>
          </w:tcPr>
          <w:p w14:paraId="4C78D8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</w:pPr>
          </w:p>
        </w:tc>
        <w:tc>
          <w:tcPr>
            <w:tcW w:w="7346" w:type="dxa"/>
            <w:gridSpan w:val="6"/>
          </w:tcPr>
          <w:p>
            <w:pPr>
              <w:spacing w:line="336" w:lineRule="auto" w:before="0" w:after="0"/>
              <w:jc w:val="left"/>
              <w:ind w:firstLine="0" w:firstLineChars="0"/>
            </w:pPr>
            <w:r>
              <w:rPr>
                <w:rFonts w:ascii="宋体" w:hAnsi="宋体" w:eastAsia="宋体" w:cs="宋体" w:hint="eastAsia"/>
                <w:sz w:val="21"/>
                <w:szCs w:val="21"/>
              </w:rPr>
              <w:t xml:space="preserve">经历如何利用数学工具开发评价阅读水平方案的过程，会用数学的思维思考，并能用数学的 语言解释评选方案，发展数学的应用意识.</w:t>
            </w:r>
          </w:p>
        </w:tc>
      </w:tr>
      <w:tr w14:paraId="7AA65289">
        <w:tc>
          <w:tcPr>
            <w:tcW w:w="1176" w:type="dxa"/>
            <w:vAlign w:val="center"/>
          </w:tcPr>
          <w:p w14:paraId="212124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</w:pPr>
            <w:r>
              <w:rPr>
                <w:rFonts w:hint="eastAsia"/>
              </w:rPr>
              <w:t>板</w:t>
            </w:r>
          </w:p>
          <w:p w14:paraId="520B75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</w:pPr>
            <w:r>
              <w:rPr>
                <w:rFonts w:hint="eastAsia"/>
              </w:rPr>
              <w:t>书</w:t>
            </w:r>
          </w:p>
          <w:p w14:paraId="3CF17A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</w:pPr>
            <w:r>
              <w:rPr>
                <w:rFonts w:hint="eastAsia"/>
              </w:rPr>
              <w:t>概</w:t>
            </w:r>
          </w:p>
          <w:p w14:paraId="2440B1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</w:pPr>
            <w:r>
              <w:rPr>
                <w:rFonts w:hint="eastAsia"/>
              </w:rPr>
              <w:t>要</w:t>
            </w:r>
          </w:p>
        </w:tc>
        <w:tc>
          <w:tcPr>
            <w:tcW w:w="7346" w:type="dxa"/>
            <w:gridSpan w:val="6"/>
          </w:tcPr>
          <w:p/>
        </w:tc>
      </w:tr>
      <w:tr w14:paraId="786CF2ED">
        <w:tc>
          <w:tcPr>
            <w:tcW w:w="7122" w:type="dxa"/>
            <w:gridSpan w:val="4"/>
          </w:tcPr>
          <w:p w14:paraId="2D73D0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</w:pPr>
            <w:r>
              <w:rPr>
                <w:rFonts w:hint="eastAsia"/>
              </w:rPr>
              <w:t>教      学      设      计</w:t>
            </w:r>
          </w:p>
        </w:tc>
        <w:tc>
          <w:tcPr>
            <w:tcW w:w="1400" w:type="dxa"/>
            <w:gridSpan w:val="3"/>
          </w:tcPr>
          <w:p w14:paraId="0196DD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jc w:val="center"/>
              <w:textAlignment w:val="auto"/>
            </w:pPr>
            <w:r>
              <w:rPr>
                <w:rFonts w:hint="eastAsia"/>
              </w:rPr>
              <w:t>体会与反思</w:t>
            </w:r>
          </w:p>
        </w:tc>
      </w:tr>
      <w:tr w14:paraId="46F8FCBF">
        <w:tc>
          <w:tcPr>
            <w:tcW w:w="7122" w:type="dxa"/>
            <w:gridSpan w:val="4"/>
          </w:tcPr>
          <w:p>
            <w:pPr>
              <w:spacing w:line="336" w:lineRule="auto" w:before="0" w:after="0"/>
              <w:jc w:val="left"/>
              <w:ind w:firstLine="0" w:firstLineChars="0"/>
            </w:pPr>
            <w:r>
              <w:drawing>
                <wp:inline xmlns:a="http://schemas.openxmlformats.org/drawingml/2006/main" xmlns:pic="http://schemas.openxmlformats.org/drawingml/2006/picture">
                  <wp:extent cx="4500000" cy="13457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1345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36" w:lineRule="auto" w:before="0" w:after="0"/>
              <w:jc w:val="left"/>
              <w:ind w:firstLine="0" w:firstLineChars="0"/>
            </w:pPr>
            <w:r>
              <w:drawing>
                <wp:inline xmlns:a="http://schemas.openxmlformats.org/drawingml/2006/main" xmlns:pic="http://schemas.openxmlformats.org/drawingml/2006/picture">
                  <wp:extent cx="4500000" cy="60845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6084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36" w:lineRule="auto" w:before="0" w:after="0"/>
              <w:jc w:val="left"/>
              <w:ind w:firstLine="0" w:firstLineChars="0"/>
            </w:pPr>
            <w:r>
              <w:drawing>
                <wp:inline xmlns:a="http://schemas.openxmlformats.org/drawingml/2006/main" xmlns:pic="http://schemas.openxmlformats.org/drawingml/2006/picture">
                  <wp:extent cx="4500000" cy="159929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15992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36" w:lineRule="auto" w:before="0" w:after="0"/>
              <w:jc w:val="left"/>
              <w:ind w:firstLine="0" w:firstLineChars="0"/>
            </w:pPr>
            <w:r>
              <w:drawing>
                <wp:inline xmlns:a="http://schemas.openxmlformats.org/drawingml/2006/main" xmlns:pic="http://schemas.openxmlformats.org/drawingml/2006/picture">
                  <wp:extent cx="4500000" cy="209154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0915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36" w:lineRule="auto" w:before="0" w:after="0"/>
              <w:jc w:val="left"/>
              <w:ind w:firstLine="0" w:firstLineChars="0"/>
            </w:pPr>
            <w:r>
              <w:drawing>
                <wp:inline xmlns:a="http://schemas.openxmlformats.org/drawingml/2006/main" xmlns:pic="http://schemas.openxmlformats.org/drawingml/2006/picture">
                  <wp:extent cx="4500000" cy="85563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8556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36" w:lineRule="auto" w:before="0" w:after="0"/>
              <w:jc w:val="left"/>
              <w:ind w:firstLine="0" w:firstLineChars="0"/>
            </w:pPr>
            <w:r>
              <w:drawing>
                <wp:inline xmlns:a="http://schemas.openxmlformats.org/drawingml/2006/main" xmlns:pic="http://schemas.openxmlformats.org/drawingml/2006/picture">
                  <wp:extent cx="4500000" cy="208943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0894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36" w:lineRule="auto" w:before="0" w:after="0"/>
              <w:jc w:val="left"/>
              <w:ind w:firstLine="0" w:firstLineChars="0"/>
            </w:pPr>
            <w:r>
              <w:drawing>
                <wp:inline xmlns:a="http://schemas.openxmlformats.org/drawingml/2006/main" xmlns:pic="http://schemas.openxmlformats.org/drawingml/2006/picture">
                  <wp:extent cx="4500000" cy="209366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20936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36" w:lineRule="auto" w:before="0" w:after="0"/>
              <w:jc w:val="left"/>
              <w:ind w:firstLine="0" w:firstLineChars="0"/>
            </w:pPr>
            <w:r>
              <w:drawing>
                <wp:inline xmlns:a="http://schemas.openxmlformats.org/drawingml/2006/main" xmlns:pic="http://schemas.openxmlformats.org/drawingml/2006/picture">
                  <wp:extent cx="4500000" cy="36126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3612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36" w:lineRule="auto" w:before="0" w:after="0"/>
              <w:jc w:val="left"/>
              <w:ind w:firstLine="0" w:firstLineChars="0"/>
            </w:pPr>
            <w:r>
              <w:drawing>
                <wp:inline xmlns:a="http://schemas.openxmlformats.org/drawingml/2006/main" xmlns:pic="http://schemas.openxmlformats.org/drawingml/2006/picture">
                  <wp:extent cx="4500000" cy="36126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3612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36" w:lineRule="auto" w:before="0" w:after="0"/>
              <w:jc w:val="left"/>
              <w:ind w:firstLine="0" w:firstLineChars="0"/>
            </w:pPr>
            <w:r>
              <w:drawing>
                <wp:inline xmlns:a="http://schemas.openxmlformats.org/drawingml/2006/main" xmlns:pic="http://schemas.openxmlformats.org/drawingml/2006/picture">
                  <wp:extent cx="4500000" cy="17366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1736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  <w:gridSpan w:val="3"/>
          </w:tcPr>
          <w:p/>
        </w:tc>
      </w:tr>
    </w:tbl>
    <w:p w14:paraId="1D0F1DCC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8DD27">
    <w:pPr>
      <w:pStyle w:val="3"/>
    </w:pPr>
    <w:r>
      <w:rPr>
        <w:rFonts w:hint="eastAsia"/>
      </w:rPr>
      <w:t>上外</w:t>
    </w:r>
    <w:r>
      <w:t>云间教师备课用纸</w:t>
    </w:r>
    <w:r>
      <w:rPr>
        <w:rFonts w:hint="eastAsia"/>
      </w:rPr>
      <w:t xml:space="preserve">                                                         页次：</w:t>
    </w:r>
  </w:p>
  <w:p w14:paraId="7A74433A">
    <w:pPr>
      <w:pStyle w:val="3"/>
    </w:pPr>
  </w:p>
  <w:p w14:paraId="64DED017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3C4894"/>
    <w:rsid w:val="277EB82B"/>
    <w:rsid w:val="2FFFBA70"/>
    <w:rsid w:val="3EBF6916"/>
    <w:rsid w:val="5D3C4894"/>
    <w:rsid w:val="71774083"/>
    <w:rsid w:val="7D9F1D5D"/>
    <w:rsid w:val="7FBEDBCF"/>
    <w:rsid w:val="BFEFCE09"/>
    <w:rsid w:val="EEA7BF4F"/>
    <w:rsid w:val="EFBF526A"/>
    <w:rsid w:val="FD97E062"/>
    <w:rsid w:val="FFFF2BB6"/>
  </w:rsids>
  <m:mathPr>
    <m:mathFont m:val="Times New Roman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paragraph" w:customStyle="1" w:styleId="12">
    <w:name w:val="Table Text"/>
    <w:basedOn w:val="1"/>
    <w:semiHidden/>
    <w:qFormat/>
    <w:uiPriority w:val="0"/>
    <w:rPr>
      <w:rFonts w:ascii="PingFang SC" w:hAnsi="PingFang SC" w:eastAsia="PingFang SC" w:cs="PingFang SC"/>
      <w:sz w:val="20"/>
      <w:szCs w:val="20"/>
      <w:lang w:val="en-US" w:eastAsia="en-US" w:bidi="ar-SA"/>
    </w:rPr>
  </w:style>
  <w:style w:type="table" w:customStyle="1" w:styleId="1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" Type="http://schemas.openxmlformats.org/officeDocument/2006/relationships/styles" Target="styles.xml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2024-11-20T10:37:00Z</dcterms:created>
  <dc:creator>贝贝</dc:creator>
  <cp:lastModifiedBy>贝贝</cp:lastModifiedBy>
  <dcterms:modified xsi:type="dcterms:W3CDTF">2026-08-31T14:21:46Z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AF91FF70FD03B37E7A1D956AC085308E_43</vt:lpwstr>
  </property>
</Properties>
</file>